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3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0285"/>
        <w:gridCol w:w="709"/>
      </w:tblGrid>
      <w:tr w:rsidR="003C3E7F" w:rsidRPr="004D4C2A" w:rsidTr="000E4E3A">
        <w:trPr>
          <w:gridBefore w:val="1"/>
          <w:wBefore w:w="709" w:type="dxa"/>
          <w:trHeight w:val="1050"/>
          <w:tblCellSpacing w:w="0" w:type="dxa"/>
        </w:trPr>
        <w:tc>
          <w:tcPr>
            <w:tcW w:w="10994" w:type="dxa"/>
            <w:gridSpan w:val="2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BB5234" w:rsidTr="00C8771A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BB5234" w:rsidRDefault="00B30E0B" w:rsidP="00BB5234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4610203</wp:posOffset>
                            </wp:positionH>
                            <wp:positionV relativeFrom="paragraph">
                              <wp:posOffset>171416</wp:posOffset>
                            </wp:positionV>
                            <wp:extent cx="1408670" cy="914400"/>
                            <wp:effectExtent l="0" t="0" r="20320" b="19050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8670" cy="914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30E0B" w:rsidRPr="00B30E0B" w:rsidRDefault="00B30E0B" w:rsidP="00B30E0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w:pPr>
                                        <w:r w:rsidRPr="00B30E0B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w:t>Проект</w:t>
                                        </w:r>
                                      </w:p>
                                      <w:p w:rsidR="00B30E0B" w:rsidRPr="00B30E0B" w:rsidRDefault="00B30E0B" w:rsidP="00B30E0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w:pPr>
                                        <w:r w:rsidRPr="00B30E0B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w:t>01-03/123</w:t>
                                        </w:r>
                                      </w:p>
                                      <w:p w:rsidR="00B30E0B" w:rsidRPr="00B30E0B" w:rsidRDefault="00B30E0B" w:rsidP="00B30E0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w:pPr>
                                        <w:r w:rsidRPr="00B30E0B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w:t>06.11.2019 р.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63pt;margin-top:13.5pt;width:110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2tiAIAACYFAAAOAAAAZHJzL2Uyb0RvYy54bWysVM1uEzEQviPxDpbvdDdRaEvUTRWlKkKq&#10;2ooW9ex47WSF12NsJ7vhhMQViUfgIbggfvoMmzdi7N1sq1JxQFy8np355vcbHx3XpSJrYV0BOqOD&#10;vZQSoTnkhV5k9M316bNDSpxnOmcKtMjoRjh6PHn65KgyYzGEJahcWIJOtBtXJqNL7804SRxfipK5&#10;PTBCo1KCLZlH0S6S3LIKvZcqGabpflKBzY0FLpzDvyetkk6ifykF9xdSOuGJyijm5uNp4zkPZzI5&#10;YuOFZWZZ8C4N9g9ZlKzQGLR3dcI8Iytb/OGqLLgFB9LvcSgTkLLgItaA1QzSB9VcLZkRsRZsjjN9&#10;m9z/c8vP15eWFDnOjhLNShxR82X7Yfu5+dncbj82X5vb5sf2U/Or+dZ8J4PQr8q4McKuzKXtJIfX&#10;UHwtbRm+WBapY483fY9F7QnHn4NRerh/gKPgqHsxGI3SOITkDm2s8y8FlCRcMmpxhrG1bH3mPEZE&#10;050JCiGbNn68+Y0SIQWlXwuJdWHEYURHRomZsmTNkAv521gL+oqWASILpXrQ4DGQ8jtQZxtgIrKs&#10;B6aPAe+i9dYxImjfA8tCg/07WLb2u6rbWkPZvp7X3SzmkG9wohZaqjvDTwvs4xlz/pJZ5Da2HvfV&#10;X+AhFVQZhe5GyRLs+8f+B3ukHGopqXBXMurerZgVlKhXGskYx4jLFYXR84MhxrD3NfP7Gr0qZ4Aj&#10;QMJhdvEa7L3aXaWF8gbXehqiooppjrEzyr3dCTPf7jA+DFxMp9EMF8owf6avDA/OQ4MDT67rG2ZN&#10;RyaPNDyH3V6x8QNOtbYBqWG68iCLSLjQ4ravXetxGSMPu4cjbPt9OVrdPW+T3wAAAP//AwBQSwME&#10;FAAGAAgAAAAhAPXnRgPeAAAACgEAAA8AAABkcnMvZG93bnJldi54bWxMj8tOwzAQRfdI/IM1SOyo&#10;3QjFNMSpKgQrEBWFBUs3HpIIPyLbTdK/Z1jBajSaozvn1tvFWTZhTEPwCtYrAQx9G8zgOwUf7083&#10;d8BS1t5oGzwqOGOCbXN5UevKhNm/4XTIHaMQnyqtoM95rDhPbY9Op1UY0dPtK0SnM62x4ybqmcKd&#10;5YUQJXd68PSh1yM+9Nh+H05OQdgPZ7uLm9fpBeXn8z6LeSkflbq+Wnb3wDIu+Q+GX31Sh4acjuHk&#10;TWJWgSxK6pIVFJImAZtbSV2ORMq1AN7U/H+F5gcAAP//AwBQSwECLQAUAAYACAAAACEAtoM4kv4A&#10;AADhAQAAEwAAAAAAAAAAAAAAAAAAAAAAW0NvbnRlbnRfVHlwZXNdLnhtbFBLAQItABQABgAIAAAA&#10;IQA4/SH/1gAAAJQBAAALAAAAAAAAAAAAAAAAAC8BAABfcmVscy8ucmVsc1BLAQItABQABgAIAAAA&#10;IQBl9H2tiAIAACYFAAAOAAAAAAAAAAAAAAAAAC4CAABkcnMvZTJvRG9jLnhtbFBLAQItABQABgAI&#10;AAAAIQD150YD3gAAAAoBAAAPAAAAAAAAAAAAAAAAAOIEAABkcnMvZG93bnJldi54bWxQSwUGAAAA&#10;AAQABADzAAAA7QUAAAAA&#10;" fillcolor="white [3201]" strokecolor="black [3200]" strokeweight="1pt">
                            <v:textbox>
                              <w:txbxContent>
                                <w:p w:rsidR="00B30E0B" w:rsidRPr="00B30E0B" w:rsidRDefault="00B30E0B" w:rsidP="00B30E0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B30E0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B30E0B" w:rsidRPr="00B30E0B" w:rsidRDefault="00B30E0B" w:rsidP="00B30E0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B30E0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01-03/123</w:t>
                                  </w:r>
                                </w:p>
                                <w:p w:rsidR="00B30E0B" w:rsidRPr="00B30E0B" w:rsidRDefault="00B30E0B" w:rsidP="00B30E0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B30E0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06.11.2019 р.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B5234">
                    <w:rPr>
                      <w:lang w:val="uk-UA"/>
                    </w:rPr>
                    <w:t xml:space="preserve">                                                      </w:t>
                  </w:r>
                  <w:r w:rsidR="00AE300C">
                    <w:rPr>
                      <w:lang w:val="uk-UA"/>
                    </w:rPr>
                    <w:t xml:space="preserve">                              </w:t>
                  </w:r>
                  <w:r w:rsidR="00BB5234">
                    <w:rPr>
                      <w:lang w:val="uk-UA"/>
                    </w:rPr>
                    <w:t xml:space="preserve"> </w:t>
                  </w:r>
                  <w:r w:rsidR="00BB5234">
                    <w:rPr>
                      <w:noProof/>
                    </w:rPr>
                    <w:drawing>
                      <wp:inline distT="0" distB="0" distL="0" distR="0" wp14:anchorId="4E12CFFC" wp14:editId="42C1D0D6">
                        <wp:extent cx="428625" cy="638175"/>
                        <wp:effectExtent l="0" t="0" r="9525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B5234"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BB5234" w:rsidTr="00C8771A">
              <w:trPr>
                <w:trHeight w:val="1260"/>
              </w:trPr>
              <w:tc>
                <w:tcPr>
                  <w:tcW w:w="9720" w:type="dxa"/>
                </w:tcPr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ІІ СКЛИКАННЯ </w:t>
                  </w:r>
                </w:p>
                <w:p w:rsidR="00BB5234" w:rsidRDefault="000E0EC1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__</w:t>
                  </w:r>
                  <w:r w:rsidR="00BB52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BB5234" w:rsidRPr="00C51F0A" w:rsidRDefault="00BB5234" w:rsidP="000E0EC1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0E0EC1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_____</w:t>
                  </w:r>
                </w:p>
              </w:tc>
            </w:tr>
            <w:tr w:rsidR="00BB5234" w:rsidRPr="0074115C" w:rsidTr="00C8771A">
              <w:trPr>
                <w:trHeight w:val="533"/>
              </w:trPr>
              <w:tc>
                <w:tcPr>
                  <w:tcW w:w="9720" w:type="dxa"/>
                  <w:hideMark/>
                </w:tcPr>
                <w:p w:rsidR="00BB5234" w:rsidRDefault="00BB5234" w:rsidP="000E0EC1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від </w:t>
                  </w:r>
                  <w:r w:rsidR="000E0EC1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3C3E7F" w:rsidRPr="00BB5234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C3E7F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затвердження плану </w:t>
            </w:r>
            <w:bookmarkStart w:id="0" w:name="_GoBack"/>
            <w:bookmarkEnd w:id="0"/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підготовки проектів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</w:t>
            </w:r>
            <w:r w:rsidR="000E0EC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</w:t>
            </w: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рік</w:t>
            </w:r>
          </w:p>
          <w:p w:rsidR="003C3E7F" w:rsidRPr="007B7D06" w:rsidRDefault="003C3E7F" w:rsidP="00685CEE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3C3E7F" w:rsidRDefault="00C51F0A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 вимог ст.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7 </w:t>
            </w:r>
            <w:r w:rsidR="003C3E7F"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Законом України «Про місцеве самоврядування в Україні ,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-</w:t>
            </w:r>
          </w:p>
          <w:p w:rsidR="003C3E7F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3C3E7F" w:rsidRPr="007B7D06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3C3E7F" w:rsidRPr="00A17063" w:rsidRDefault="003C3E7F" w:rsidP="00685CEE">
            <w:pPr>
              <w:pStyle w:val="a3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Затвердити план підготовки проектів регуляторних актів на 20</w:t>
            </w:r>
            <w:r w:rsidR="000E0E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 (відповідно до додатку).</w:t>
            </w: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постійну комісію з провадження державної регуляторної політики у сфері господарської діяльності м. Боярка та першого заступника міського голови.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74115C" w:rsidRDefault="0074115C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05438" w:rsidRDefault="0050543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6148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3C3E7F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юридичного відділу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  <w:r w:rsidR="00B30E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47573A">
              <w:rPr>
                <w:rFonts w:ascii="Times New Roman" w:hAnsi="Times New Roman"/>
                <w:sz w:val="28"/>
                <w:szCs w:val="28"/>
                <w:lang w:val="uk-UA"/>
              </w:rPr>
              <w:t>Н.А. З</w:t>
            </w:r>
            <w:r w:rsidR="00AA448B">
              <w:rPr>
                <w:rFonts w:ascii="Times New Roman" w:hAnsi="Times New Roman"/>
                <w:sz w:val="28"/>
                <w:szCs w:val="28"/>
                <w:lang w:val="uk-UA"/>
              </w:rPr>
              <w:t>ал</w:t>
            </w:r>
            <w:r w:rsidR="0047573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AA448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757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</w:p>
          <w:p w:rsidR="0047573A" w:rsidRDefault="0047573A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Погоджено:</w:t>
            </w:r>
          </w:p>
          <w:p w:rsidR="00D86148" w:rsidRPr="007223A1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Шульга 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1D0B2C" w:rsidRDefault="003C3E7F" w:rsidP="003C3E7F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юридичного відділу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Маруженко </w:t>
            </w: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lastRenderedPageBreak/>
              <w:t>Додаток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 Рішення №____________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від _______________20</w:t>
            </w:r>
            <w:r w:rsidR="007C7CC2">
              <w:rPr>
                <w:rFonts w:ascii="Times New Roman" w:hAnsi="Times New Roman"/>
                <w:lang w:val="uk-UA"/>
              </w:rPr>
              <w:t>20</w:t>
            </w:r>
            <w:r w:rsidR="00337EDB">
              <w:rPr>
                <w:rFonts w:ascii="Times New Roman" w:hAnsi="Times New Roman"/>
                <w:lang w:val="uk-UA"/>
              </w:rPr>
              <w:t xml:space="preserve"> </w:t>
            </w:r>
            <w:r w:rsidRPr="003357F0">
              <w:rPr>
                <w:rFonts w:ascii="Times New Roman" w:hAnsi="Times New Roman"/>
                <w:lang w:val="uk-UA"/>
              </w:rPr>
              <w:t>року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ДІЯЛЬНОСТІ 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ПРОЕКТІВ РЕГУЛЯТОРНИХ АКТІВ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</w:t>
            </w:r>
            <w:r w:rsidR="00AA448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2"/>
              <w:gridCol w:w="1999"/>
              <w:gridCol w:w="2958"/>
              <w:gridCol w:w="1614"/>
              <w:gridCol w:w="2334"/>
              <w:gridCol w:w="1217"/>
            </w:tblGrid>
            <w:tr w:rsidR="003C3E7F" w:rsidTr="00DA1F0F">
              <w:trPr>
                <w:trHeight w:val="1132"/>
              </w:trPr>
              <w:tc>
                <w:tcPr>
                  <w:tcW w:w="652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№/п</w:t>
                  </w:r>
                </w:p>
              </w:tc>
              <w:tc>
                <w:tcPr>
                  <w:tcW w:w="1967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 проекту регуляторного акту</w:t>
                  </w:r>
                </w:p>
              </w:tc>
              <w:tc>
                <w:tcPr>
                  <w:tcW w:w="2989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Цілі прийняття</w:t>
                  </w:r>
                </w:p>
              </w:tc>
              <w:tc>
                <w:tcPr>
                  <w:tcW w:w="161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Строки підготовки проектів регуляторних актів</w:t>
                  </w:r>
                </w:p>
              </w:tc>
              <w:tc>
                <w:tcPr>
                  <w:tcW w:w="233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Відповідальні за розроблення проектів регуляторних актів</w:t>
                  </w:r>
                </w:p>
              </w:tc>
              <w:tc>
                <w:tcPr>
                  <w:tcW w:w="1218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Примітки</w:t>
                  </w:r>
                </w:p>
              </w:tc>
            </w:tr>
            <w:tr w:rsidR="003C3E7F" w:rsidRPr="00A52152" w:rsidTr="00DA1F0F">
              <w:trPr>
                <w:trHeight w:val="2234"/>
              </w:trPr>
              <w:tc>
                <w:tcPr>
                  <w:tcW w:w="652" w:type="dxa"/>
                </w:tcPr>
                <w:p w:rsidR="003C3E7F" w:rsidRPr="00E96958" w:rsidRDefault="003C3E7F" w:rsidP="003C3E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3C3E7F" w:rsidRPr="00A52152" w:rsidRDefault="0074115C" w:rsidP="000E0E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ставок податку на нерухоме майно, відмінне від земельної ділянки на 202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та затвердження Положення  про податок на нерухоме майно, відмінне від земельної ділянки , на території міста Боярка на 20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</w:t>
                  </w:r>
                </w:p>
              </w:tc>
              <w:tc>
                <w:tcPr>
                  <w:tcW w:w="298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виконання вимог чинного законодавства;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врегулювання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равовідносин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між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радою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та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суб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’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єктами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господарювання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встановлення ставок місцевого податку на нерухоме майно, відмінне від земельної, які б дозволили збільшити надходження до міського бюджету.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482B02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І-ІІ</w:t>
                  </w:r>
                  <w:r w:rsidR="0074115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-квартал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34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C33EA" w:rsidRPr="00A52152" w:rsidTr="00DA1F0F">
              <w:trPr>
                <w:trHeight w:val="3421"/>
              </w:trPr>
              <w:tc>
                <w:tcPr>
                  <w:tcW w:w="652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3C3E7F" w:rsidRPr="00A52152" w:rsidRDefault="0074115C" w:rsidP="000E0E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єдиного податку на 202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рік, затвердження ставок єдиного податку та Положення про особливості справляння єдиного податку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суб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'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єктами господарювання , які застосовують спрощену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систему оподаткування , обліку та зві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тності на території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міста Боярка</w:t>
                  </w:r>
                </w:p>
              </w:tc>
              <w:tc>
                <w:tcPr>
                  <w:tcW w:w="2989" w:type="dxa"/>
                </w:tcPr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дотримання вимог Податкового кодексу України;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відповідних надходжень до місцевого бюджету;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відкритість процедури, прозорість дій органу місцевого самоврядування при вирішенні питань, пов'язаних зі справлянням єдиного податку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4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C31B78" w:rsidRDefault="00482B02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І-ІІ</w:t>
                  </w:r>
                  <w:r w:rsidR="003C3E7F" w:rsidRPr="00A521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DA1F0F">
              <w:trPr>
                <w:trHeight w:val="841"/>
              </w:trPr>
              <w:tc>
                <w:tcPr>
                  <w:tcW w:w="652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CC3AC8" w:rsidRPr="00CC3AC8" w:rsidRDefault="00CC3AC8" w:rsidP="00CC3AC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C3AC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транспортного податку на 2021 рік та затвердження Положення про транспортний податок на території міста Боярка</w:t>
                  </w:r>
                </w:p>
                <w:p w:rsidR="003C3E7F" w:rsidRPr="00CC3AC8" w:rsidRDefault="003C3E7F" w:rsidP="0005374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989" w:type="dxa"/>
                </w:tcPr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 вимог чинного законодавства.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Врегулювання правовідносин між </w:t>
                  </w:r>
                  <w:r w:rsidRPr="00A618E8">
                    <w:rPr>
                      <w:color w:val="000000" w:themeColor="text1"/>
                      <w:lang w:val="ru-RU"/>
                    </w:rPr>
                    <w:t>міською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радою та суб’єктами оподаткування в процесі нарахування та сплати транспортного податку.</w:t>
                  </w:r>
                </w:p>
                <w:p w:rsidR="003C3E7F" w:rsidRPr="004A7482" w:rsidRDefault="00DC33EA" w:rsidP="00BB33FB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>Встановлення транспортного податку, що дозволить виконати вимоги податкового законодавства та забезпечити сталі надходження до місцевого бюджету для виконання програм соціально – економічного розвитку міста.</w:t>
                  </w:r>
                  <w:r w:rsidR="00A97CD4" w:rsidRPr="00A618E8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1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482B02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І-ІІ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81ECC">
              <w:trPr>
                <w:trHeight w:val="2007"/>
              </w:trPr>
              <w:tc>
                <w:tcPr>
                  <w:tcW w:w="652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0E0E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туристичного збору на 202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та Положення про туристичний збір на території міста Боярка</w:t>
                  </w:r>
                </w:p>
              </w:tc>
              <w:tc>
                <w:tcPr>
                  <w:tcW w:w="2989" w:type="dxa"/>
                </w:tcPr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     забезпечення дотримання вимог Податкового кодексу України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;-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встановлення в місті ставок туристичного збору  в межах,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виз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softHyphen/>
                    <w:t>начених Податковим кодексом України, граничних розмірів ставок;</w:t>
                  </w:r>
                </w:p>
                <w:p w:rsidR="00A36CEE" w:rsidRPr="00A52152" w:rsidRDefault="00DC33EA" w:rsidP="00281ECC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- наповнення дохідної частини міського бюджету</w:t>
                  </w:r>
                </w:p>
              </w:tc>
              <w:tc>
                <w:tcPr>
                  <w:tcW w:w="161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482B02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І-ІІ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DA1F0F">
              <w:trPr>
                <w:trHeight w:val="2824"/>
              </w:trPr>
              <w:tc>
                <w:tcPr>
                  <w:tcW w:w="652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</w:t>
                  </w:r>
                  <w:r w:rsidR="00034BA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2021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мінімальної вартості місячної оренди 1 кв</w:t>
                  </w:r>
                  <w:r w:rsidR="00337E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.м загальної площі нерухомого майна фізичних осіб на території міста Боярка</w:t>
                  </w:r>
                </w:p>
              </w:tc>
              <w:tc>
                <w:tcPr>
                  <w:tcW w:w="2989" w:type="dxa"/>
                </w:tcPr>
                <w:p w:rsidR="00255CD0" w:rsidRPr="006A5D7B" w:rsidRDefault="006A5D7B" w:rsidP="00BB33FB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-</w:t>
                  </w: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врегулювання відносин між орендарями, орендодавцями та Державною податковою службою України в частині нарахування (сплати) податку на доходи фізичних осіб від надання майна в лізинг, оренду або суборенду (строкове володіння та/або користування) та збільшення бюджетних надходжень та кількості платників зазначеного податку.</w:t>
                  </w:r>
                </w:p>
              </w:tc>
              <w:tc>
                <w:tcPr>
                  <w:tcW w:w="1614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C7C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82B02">
                    <w:rPr>
                      <w:rFonts w:ascii="Times New Roman" w:hAnsi="Times New Roman"/>
                      <w:sz w:val="24"/>
                      <w:szCs w:val="24"/>
                    </w:rPr>
                    <w:t>І</w:t>
                  </w:r>
                  <w:r w:rsidR="00482B0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квартал </w:t>
                  </w:r>
                </w:p>
              </w:tc>
              <w:tc>
                <w:tcPr>
                  <w:tcW w:w="2334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8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DA1F0F">
              <w:trPr>
                <w:trHeight w:val="2617"/>
              </w:trPr>
              <w:tc>
                <w:tcPr>
                  <w:tcW w:w="652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255CD0" w:rsidRPr="00A52152" w:rsidRDefault="00922149" w:rsidP="00E564A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Програма поводження з твердими побутовими відходами на </w:t>
                  </w:r>
                  <w:r w:rsidR="0089205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території Бояр</w:t>
                  </w:r>
                  <w:r w:rsidR="00E564A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ської міської ради </w:t>
                  </w:r>
                  <w:r w:rsidR="0089205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Києво-Свято</w:t>
                  </w:r>
                  <w:r w:rsidR="0006031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ш</w:t>
                  </w:r>
                  <w:r w:rsidR="0089205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инського району Київської області </w:t>
                  </w:r>
                </w:p>
              </w:tc>
              <w:tc>
                <w:tcPr>
                  <w:tcW w:w="2989" w:type="dxa"/>
                </w:tcPr>
                <w:p w:rsidR="00A36CEE" w:rsidRPr="0083411B" w:rsidRDefault="0083411B" w:rsidP="00BB33F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Розроблення </w:t>
                  </w:r>
                  <w:r w:rsidR="0092214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Програми 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території </w:t>
                  </w:r>
                  <w:r w:rsidR="009221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поводження з твердими побутовими відходами </w:t>
                  </w:r>
                  <w:r w:rsidR="00D24B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 території 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Бояр</w:t>
                  </w:r>
                  <w:r w:rsidR="00E564A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ської міської ради 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спрямоване на реалізацію державної політики України у галузі довкілля, забезпечення екологічної безпеки, захисту життя і здоров’я населення </w:t>
                  </w:r>
                  <w:r w:rsidR="0058655D"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міської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ради від негативного впливу, зумовленого забрудненням навколишнього природного середовища, досягнення гармонійної взаємодії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людини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і природи</w:t>
                  </w:r>
                  <w:r w:rsidRPr="0083411B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.</w:t>
                  </w:r>
                </w:p>
              </w:tc>
              <w:tc>
                <w:tcPr>
                  <w:tcW w:w="1614" w:type="dxa"/>
                </w:tcPr>
                <w:p w:rsidR="00255CD0" w:rsidRPr="00A52152" w:rsidRDefault="00827F8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І –квартал </w:t>
                  </w:r>
                </w:p>
              </w:tc>
              <w:tc>
                <w:tcPr>
                  <w:tcW w:w="2334" w:type="dxa"/>
                </w:tcPr>
                <w:p w:rsidR="00255CD0" w:rsidRPr="00A52152" w:rsidRDefault="00827F8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Відділ землевпорядкування та кадастру </w:t>
                  </w:r>
                </w:p>
              </w:tc>
              <w:tc>
                <w:tcPr>
                  <w:tcW w:w="1218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36CEE" w:rsidRPr="00A52152" w:rsidTr="00DA1F0F">
              <w:trPr>
                <w:trHeight w:val="2617"/>
              </w:trPr>
              <w:tc>
                <w:tcPr>
                  <w:tcW w:w="652" w:type="dxa"/>
                </w:tcPr>
                <w:p w:rsidR="00A36CEE" w:rsidRPr="00E96958" w:rsidRDefault="00A36CEE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A36CEE" w:rsidRPr="004A7482" w:rsidRDefault="00A36CEE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48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</w:t>
                  </w:r>
                  <w:r w:rsidRPr="004A7482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Правила приймання стічних вод до систем централізованого водовідведення м. Боярка»</w:t>
                  </w:r>
                </w:p>
              </w:tc>
              <w:tc>
                <w:tcPr>
                  <w:tcW w:w="2989" w:type="dxa"/>
                </w:tcPr>
                <w:p w:rsidR="00A36CEE" w:rsidRPr="006A3649" w:rsidRDefault="00A36CEE" w:rsidP="00281ECC">
                  <w:pPr>
                    <w:pStyle w:val="a7"/>
                    <w:ind w:firstLine="540"/>
                    <w:jc w:val="left"/>
                    <w:rPr>
                      <w:rFonts w:ascii="Times New Roman" w:hAnsi="Times New Roman"/>
                      <w:b w:val="0"/>
                      <w:lang w:eastAsia="en-US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Забезпечення безаварій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ної роботи </w:t>
                  </w:r>
                  <w:r w:rsidRPr="006A3649">
                    <w:rPr>
                      <w:rFonts w:ascii="Times New Roman" w:hAnsi="Times New Roman"/>
                      <w:b w:val="0"/>
                      <w:bCs/>
                    </w:rPr>
                    <w:t>системи централізованого водовідведення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 (запобігання замулювання, зажирювання, закупорки трубопроводів, також агресивного впливу на матеріал труб, колодязів, устаткування);</w:t>
                  </w:r>
                </w:p>
                <w:p w:rsidR="00A36CEE" w:rsidRPr="006A3649" w:rsidRDefault="00A36CEE" w:rsidP="00281ECC">
                  <w:pPr>
                    <w:pStyle w:val="a7"/>
                    <w:ind w:firstLine="540"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      </w:r>
                </w:p>
                <w:p w:rsidR="00A36CEE" w:rsidRPr="006A3649" w:rsidRDefault="00A36CEE" w:rsidP="00281ECC">
                  <w:pPr>
                    <w:pStyle w:val="a7"/>
                    <w:ind w:firstLine="540"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екологічної безпеки.</w:t>
                  </w:r>
                </w:p>
                <w:p w:rsidR="00A36CEE" w:rsidRPr="0058655D" w:rsidRDefault="00A36CEE" w:rsidP="00F4544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614" w:type="dxa"/>
                </w:tcPr>
                <w:p w:rsidR="00A36CEE" w:rsidRPr="00A36CEE" w:rsidRDefault="00A36CEE" w:rsidP="00A36CEE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II-III</w:t>
                  </w:r>
                </w:p>
              </w:tc>
              <w:tc>
                <w:tcPr>
                  <w:tcW w:w="2334" w:type="dxa"/>
                </w:tcPr>
                <w:p w:rsidR="00A36CEE" w:rsidRDefault="00A36CEE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18" w:type="dxa"/>
                </w:tcPr>
                <w:p w:rsidR="00A36CEE" w:rsidRPr="00A52152" w:rsidRDefault="00A36CEE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8667BD" w:rsidRDefault="004F54A4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</w:p>
          <w:p w:rsidR="00281ECC" w:rsidRDefault="00482B02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</w:p>
          <w:p w:rsidR="003C3E7F" w:rsidRPr="00054555" w:rsidRDefault="008667BD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  <w:r w:rsidR="00281ECC">
              <w:rPr>
                <w:rFonts w:ascii="Times New Roman" w:hAnsi="Times New Roman"/>
                <w:sz w:val="28"/>
                <w:szCs w:val="28"/>
                <w:lang w:val="uk-UA"/>
              </w:rPr>
              <w:t>Пер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ший заступник міського голови              </w:t>
            </w:r>
            <w:r w:rsidR="00281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4A74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482B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В.В. Шульга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7919F4" w:rsidRDefault="003C3E7F" w:rsidP="00685C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E7F" w:rsidRPr="00613C97" w:rsidRDefault="003C3E7F" w:rsidP="00685CE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F3013" w:rsidRDefault="0055309B" w:rsidP="00CD0773"/>
    <w:sectPr w:rsidR="007F3013" w:rsidSect="0050543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9B" w:rsidRDefault="0055309B" w:rsidP="00337EDB">
      <w:pPr>
        <w:spacing w:after="0" w:line="240" w:lineRule="auto"/>
      </w:pPr>
      <w:r>
        <w:separator/>
      </w:r>
    </w:p>
  </w:endnote>
  <w:endnote w:type="continuationSeparator" w:id="0">
    <w:p w:rsidR="0055309B" w:rsidRDefault="0055309B" w:rsidP="003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9B" w:rsidRDefault="0055309B" w:rsidP="00337EDB">
      <w:pPr>
        <w:spacing w:after="0" w:line="240" w:lineRule="auto"/>
      </w:pPr>
      <w:r>
        <w:separator/>
      </w:r>
    </w:p>
  </w:footnote>
  <w:footnote w:type="continuationSeparator" w:id="0">
    <w:p w:rsidR="0055309B" w:rsidRDefault="0055309B" w:rsidP="0033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E"/>
    <w:rsid w:val="00034BA3"/>
    <w:rsid w:val="00053742"/>
    <w:rsid w:val="00060315"/>
    <w:rsid w:val="00082A08"/>
    <w:rsid w:val="000A5567"/>
    <w:rsid w:val="000E0EC1"/>
    <w:rsid w:val="000E32CD"/>
    <w:rsid w:val="000E4E3A"/>
    <w:rsid w:val="00137011"/>
    <w:rsid w:val="001D1443"/>
    <w:rsid w:val="001D3E92"/>
    <w:rsid w:val="0020364A"/>
    <w:rsid w:val="002249D6"/>
    <w:rsid w:val="00255CD0"/>
    <w:rsid w:val="00281ECC"/>
    <w:rsid w:val="002C3637"/>
    <w:rsid w:val="002F740E"/>
    <w:rsid w:val="00337EDB"/>
    <w:rsid w:val="003C3E7F"/>
    <w:rsid w:val="003F1AED"/>
    <w:rsid w:val="00465346"/>
    <w:rsid w:val="0047573A"/>
    <w:rsid w:val="00482B02"/>
    <w:rsid w:val="004854D4"/>
    <w:rsid w:val="004A7482"/>
    <w:rsid w:val="004F54A4"/>
    <w:rsid w:val="00505438"/>
    <w:rsid w:val="0055309B"/>
    <w:rsid w:val="0058655D"/>
    <w:rsid w:val="006265E1"/>
    <w:rsid w:val="00626AF3"/>
    <w:rsid w:val="006A3649"/>
    <w:rsid w:val="006A5D7B"/>
    <w:rsid w:val="00715FB6"/>
    <w:rsid w:val="0074115C"/>
    <w:rsid w:val="007C7CC2"/>
    <w:rsid w:val="008133FB"/>
    <w:rsid w:val="00827F88"/>
    <w:rsid w:val="0083411B"/>
    <w:rsid w:val="008667BD"/>
    <w:rsid w:val="0089205E"/>
    <w:rsid w:val="00922149"/>
    <w:rsid w:val="009E7534"/>
    <w:rsid w:val="00A36CEE"/>
    <w:rsid w:val="00A618E8"/>
    <w:rsid w:val="00A97CD4"/>
    <w:rsid w:val="00AA448B"/>
    <w:rsid w:val="00AE300C"/>
    <w:rsid w:val="00B30E0B"/>
    <w:rsid w:val="00BB33FB"/>
    <w:rsid w:val="00BB5234"/>
    <w:rsid w:val="00C31B78"/>
    <w:rsid w:val="00C51F0A"/>
    <w:rsid w:val="00CC3AC8"/>
    <w:rsid w:val="00CD0773"/>
    <w:rsid w:val="00D24B17"/>
    <w:rsid w:val="00D8204F"/>
    <w:rsid w:val="00D86148"/>
    <w:rsid w:val="00DA1F0F"/>
    <w:rsid w:val="00DB7C7A"/>
    <w:rsid w:val="00DC1419"/>
    <w:rsid w:val="00DC33EA"/>
    <w:rsid w:val="00E564A0"/>
    <w:rsid w:val="00E82C25"/>
    <w:rsid w:val="00F03266"/>
    <w:rsid w:val="00F1321C"/>
    <w:rsid w:val="00F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1316"/>
  <w15:chartTrackingRefBased/>
  <w15:docId w15:val="{E70FBCEC-713B-4FB6-A1C3-A7D9220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7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7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E7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C3E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semiHidden/>
    <w:unhideWhenUsed/>
    <w:rsid w:val="0074115C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74115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Subtitle"/>
    <w:basedOn w:val="a"/>
    <w:link w:val="a8"/>
    <w:uiPriority w:val="11"/>
    <w:qFormat/>
    <w:rsid w:val="0074115C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8">
    <w:name w:val="Подзаголовок Знак"/>
    <w:basedOn w:val="a0"/>
    <w:link w:val="a7"/>
    <w:uiPriority w:val="11"/>
    <w:rsid w:val="0074115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A9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07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3C0B-7C9D-49E0-AEDD-D5E52D64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2019-11-06T07:15:00Z</cp:lastPrinted>
  <dcterms:created xsi:type="dcterms:W3CDTF">2019-11-13T07:48:00Z</dcterms:created>
  <dcterms:modified xsi:type="dcterms:W3CDTF">2019-11-13T07:48:00Z</dcterms:modified>
</cp:coreProperties>
</file>