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3208F6">
      <w:pPr>
        <w:pStyle w:val="a4"/>
        <w:jc w:val="center"/>
        <w:rPr>
          <w:sz w:val="20"/>
        </w:rPr>
      </w:pPr>
    </w:p>
    <w:p w:rsidR="003208F6" w:rsidRDefault="00780991" w:rsidP="003208F6">
      <w:pPr>
        <w:pStyle w:val="a4"/>
        <w:jc w:val="center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308610</wp:posOffset>
                </wp:positionV>
                <wp:extent cx="12668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991" w:rsidRPr="00780991" w:rsidRDefault="00780991" w:rsidP="00780991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809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780991" w:rsidRPr="00780991" w:rsidRDefault="00780991" w:rsidP="00780991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809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01-03/200</w:t>
                            </w:r>
                          </w:p>
                          <w:p w:rsidR="00780991" w:rsidRPr="00780991" w:rsidRDefault="00780991" w:rsidP="00780991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809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29.07.2024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2.15pt;margin-top:24.3pt;width:99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" fillcolor="white [3201]" strokecolor="black [3200]" strokeweight="1pt">
                <v:textbox>
                  <w:txbxContent>
                    <w:p w:rsidR="00780991" w:rsidRPr="00780991" w:rsidRDefault="00780991" w:rsidP="00780991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809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780991" w:rsidRPr="00780991" w:rsidRDefault="00780991" w:rsidP="00780991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809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01-03/200</w:t>
                      </w:r>
                    </w:p>
                    <w:p w:rsidR="00780991" w:rsidRPr="00780991" w:rsidRDefault="00780991" w:rsidP="00780991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809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29.07.2024 р.</w:t>
                      </w:r>
                    </w:p>
                  </w:txbxContent>
                </v:textbox>
              </v:rect>
            </w:pict>
          </mc:Fallback>
        </mc:AlternateContent>
      </w:r>
      <w:r w:rsidR="003208F6">
        <w:rPr>
          <w:noProof/>
          <w:sz w:val="20"/>
          <w:lang w:val="ru-RU" w:eastAsia="ru-RU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A40A6E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Позач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AC26A2" w:rsidRDefault="008D0CE5" w:rsidP="003208F6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A40A6E">
        <w:rPr>
          <w:lang w:val="ru-RU"/>
        </w:rPr>
        <w:t>_____/____</w:t>
      </w:r>
    </w:p>
    <w:p w:rsidR="003208F6" w:rsidRDefault="003208F6" w:rsidP="003208F6">
      <w:pPr>
        <w:pStyle w:val="a4"/>
        <w:spacing w:before="65"/>
        <w:ind w:left="2917" w:right="50" w:hanging="2917"/>
        <w:rPr>
          <w:b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A40A6E">
        <w:rPr>
          <w:b/>
          <w:lang w:val="ru-RU"/>
        </w:rPr>
        <w:t>30</w:t>
      </w:r>
      <w:r w:rsidR="00F216D0">
        <w:rPr>
          <w:b/>
          <w:lang w:val="ru-RU"/>
        </w:rPr>
        <w:t xml:space="preserve"> </w:t>
      </w:r>
      <w:proofErr w:type="spellStart"/>
      <w:r w:rsidR="00F216D0">
        <w:rPr>
          <w:b/>
          <w:lang w:val="ru-RU"/>
        </w:rPr>
        <w:t>липня</w:t>
      </w:r>
      <w:proofErr w:type="spellEnd"/>
      <w:r>
        <w:rPr>
          <w:b/>
          <w:lang w:val="ru-RU"/>
        </w:rPr>
        <w:t xml:space="preserve"> 2024 </w:t>
      </w:r>
      <w:r>
        <w:rPr>
          <w:b/>
        </w:rPr>
        <w:t xml:space="preserve">року     </w:t>
      </w:r>
      <w:r>
        <w:rPr>
          <w:b/>
          <w:lang w:val="ru-RU"/>
        </w:rPr>
        <w:t xml:space="preserve">                                                              </w:t>
      </w:r>
      <w:r w:rsidR="00B77972">
        <w:rPr>
          <w:b/>
        </w:rPr>
        <w:t xml:space="preserve">       </w:t>
      </w:r>
      <w:r w:rsidR="00F216D0">
        <w:rPr>
          <w:b/>
        </w:rPr>
        <w:t xml:space="preserve">  </w:t>
      </w:r>
      <w:r w:rsidR="00A40A6E">
        <w:rPr>
          <w:b/>
        </w:rPr>
        <w:t xml:space="preserve">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  <w:bookmarkStart w:id="0" w:name="_GoBack"/>
      <w:bookmarkEnd w:id="0"/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Pr="00BC4670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2024 рік</w:t>
      </w:r>
      <w:r w:rsidR="006D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BC4670" w:rsidRP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новій</w:t>
      </w:r>
      <w:proofErr w:type="spellEnd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BC46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редакції</w:t>
      </w:r>
      <w:proofErr w:type="spellEnd"/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3208F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територіальної громади на 2024 рік</w:t>
      </w:r>
      <w:r w:rsidR="006D5250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194C8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РІ та ЖКГ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Ольга МИХЕЄНКО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62355" w:rsidRDefault="00162355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3208F6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A40A6E">
        <w:rPr>
          <w:rFonts w:ascii="Times New Roman" w:eastAsia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чергової </w:t>
      </w:r>
      <w:r w:rsidR="00A40A6E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Боярської міської ради </w:t>
      </w:r>
      <w:r w:rsidR="003208F6">
        <w:rPr>
          <w:rFonts w:ascii="Times New Roman" w:eastAsia="Times New Roman" w:hAnsi="Times New Roman" w:cs="Times New Roman"/>
          <w:sz w:val="28"/>
          <w:szCs w:val="28"/>
        </w:rPr>
        <w:t>V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AC26A2" w:rsidRDefault="004A3D1A" w:rsidP="00B77972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4678" w:right="427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40A6E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F216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липня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 w:rsidR="008D0CE5" w:rsidRPr="00AC26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40A6E">
        <w:rPr>
          <w:rFonts w:ascii="Times New Roman" w:eastAsia="Times New Roman" w:hAnsi="Times New Roman" w:cs="Times New Roman"/>
          <w:sz w:val="28"/>
          <w:szCs w:val="28"/>
          <w:lang w:val="ru-RU"/>
        </w:rPr>
        <w:t>_____/____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міської територіальної громади на 2024 рік</w:t>
      </w:r>
    </w:p>
    <w:p w:rsidR="003208F6" w:rsidRP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216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Pr="00F216D0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9E6484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- 2024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423B" w:rsidRDefault="002A423B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B77972" w:rsidRDefault="00B77972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міської територіальної громади на 2024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194C8E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194C8E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фінансів Боярської міської ради, добровольче формування Боярської територіальної програми №1 ім. Євгена Коновальця.</w:t>
            </w:r>
          </w:p>
        </w:tc>
      </w:tr>
      <w:tr w:rsidR="003208F6" w:rsidRPr="00194C8E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2024 рік</w:t>
            </w:r>
          </w:p>
        </w:tc>
      </w:tr>
      <w:tr w:rsidR="003208F6" w:rsidRPr="00194C8E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2024 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A40A6E" w:rsidP="008D51A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  <w:r w:rsidR="00EA6C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7</w:t>
            </w:r>
            <w:r w:rsidR="008E2D37"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79 696</w:t>
            </w:r>
            <w:r w:rsidR="008F2BFF"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,00</w:t>
            </w:r>
            <w:r w:rsidR="003208F6"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5250" w:rsidRDefault="006D5250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 xml:space="preserve">12) співпрацювати з органами місцевого самоврядування та військовими частинами Сил територіальної оборони Збройних Сил, збирати та аналізувати </w:t>
      </w:r>
      <w:r>
        <w:rPr>
          <w:color w:val="000000" w:themeColor="text1"/>
          <w:sz w:val="28"/>
          <w:szCs w:val="28"/>
          <w:lang w:val="uk-UA"/>
        </w:rPr>
        <w:lastRenderedPageBreak/>
        <w:t>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-підготовки особового складу добровольчого формування до охорони важливих стратегічних об’єктів і комунікацій, органів державної влади, органів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</w:t>
      </w:r>
      <w:r>
        <w:rPr>
          <w:color w:val="000000" w:themeColor="text1"/>
          <w:sz w:val="28"/>
          <w:szCs w:val="28"/>
          <w:lang w:val="uk-UA" w:eastAsia="zh-CN"/>
        </w:rPr>
        <w:lastRenderedPageBreak/>
        <w:t>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8F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міської територіальної громади на 2024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громади 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територіальної громади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ім.Євгена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Інші видатки для забезпечення матеріально-технічними засобами та фінансування діяльності добровольчого формування територіальної оборони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1 350 000,00 грн.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194C8E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Боярської міської територіальної громади ім. Є. Коновальця, та бригади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Нацполіції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«Лють».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  <w:r w:rsidR="00D42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ФО-П Шевчук В.П.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D4296D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1 1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50 000,00 грн.</w:t>
            </w:r>
          </w:p>
        </w:tc>
      </w:tr>
      <w:tr w:rsidR="006D5250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50" w:rsidRPr="003E1B28" w:rsidRDefault="003E1B2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F" w:rsidRPr="003E1B28" w:rsidRDefault="006D5250" w:rsidP="000E386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(</w:t>
            </w:r>
            <w:r w:rsidR="007C3E35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), згідно технічних характеристик, поданих в листі командира військової частини А 7377 Костянтина </w:t>
            </w:r>
            <w:proofErr w:type="spellStart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Шаповалова</w:t>
            </w:r>
            <w:proofErr w:type="spellEnd"/>
            <w:r w:rsidR="000E386F" w:rsidRPr="003E1B28">
              <w:rPr>
                <w:lang w:val="ru-RU"/>
              </w:rPr>
              <w:t xml:space="preserve"> </w:t>
            </w:r>
            <w:r w:rsidR="00A417C4" w:rsidRPr="003E1B28">
              <w:rPr>
                <w:lang w:val="ru-RU"/>
              </w:rPr>
              <w:t>(</w:t>
            </w:r>
            <w:r w:rsidR="00A417C4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 24.04.2024 №</w:t>
            </w:r>
            <w:r w:rsidR="00A417C4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17C4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02-09/2784/0-24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):</w:t>
            </w:r>
          </w:p>
          <w:p w:rsidR="007C3E35" w:rsidRPr="003E1B28" w:rsidRDefault="007C3E35" w:rsidP="000E386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квадрокоптерів</w:t>
            </w:r>
            <w:proofErr w:type="spellEnd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ДЛ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Mavic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3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Fly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More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Combo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(5 од.),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  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Mavic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3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(5 од.) та активних виносних антенах для управління </w:t>
            </w:r>
            <w:proofErr w:type="spellStart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БпЛА</w:t>
            </w:r>
            <w:proofErr w:type="spellEnd"/>
            <w:r w:rsidR="000E386F"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 матчами (2 од.)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Pr="003E1B28" w:rsidRDefault="007C3E35" w:rsidP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7C3E35" w:rsidRPr="003E1B28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6D5250" w:rsidRPr="003E1B28" w:rsidRDefault="007C3E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7377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5" w:rsidRPr="003E1B28" w:rsidRDefault="007C3E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7C3E35" w:rsidRPr="003E1B28" w:rsidRDefault="007C3E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6D5250" w:rsidRPr="003E1B28" w:rsidRDefault="007C3E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1 </w:t>
            </w:r>
            <w:r w:rsidR="009D7D72"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000</w:t>
            </w: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000,00 грн.</w:t>
            </w:r>
          </w:p>
        </w:tc>
      </w:tr>
      <w:tr w:rsidR="00AC7D62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AC7D62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AC7D62" w:rsidRDefault="005C41E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C7D62" w:rsidRDefault="00AC7D62" w:rsidP="00AC7D6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D62" w:rsidRDefault="00AC7D62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AC7D62" w:rsidRDefault="00AC7D62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C7D62" w:rsidRDefault="008E2D37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 w:rsidR="00AC7D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198 600,00 грн.</w:t>
            </w:r>
          </w:p>
        </w:tc>
      </w:tr>
      <w:tr w:rsidR="00A55B0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(субвенція)  </w:t>
            </w:r>
          </w:p>
          <w:p w:rsidR="00A55B0F" w:rsidRDefault="00A55B0F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A55B0F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A55B0F" w:rsidRPr="00A55B0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Pr="00A55B0F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Default="00A55B0F" w:rsidP="00A55B0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(субвенція) </w:t>
            </w:r>
          </w:p>
          <w:p w:rsidR="00A55B0F" w:rsidRPr="00A55B0F" w:rsidRDefault="00A55B0F" w:rsidP="00AC7D6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0F" w:rsidRP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A55B0F" w:rsidRDefault="00A55B0F" w:rsidP="00A55B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Центр спеціального призначення НГУ (військова частина 3073)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A55B0F" w:rsidRDefault="00A55B0F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1 000 000,00 грн.</w:t>
            </w:r>
          </w:p>
        </w:tc>
      </w:tr>
      <w:tr w:rsidR="00B77972" w:rsidRPr="00B77972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Pr="00B77972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  <w:r w:rsidR="00B779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Default="00B77972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Розміщення та функціонування Військової частини А 4051</w:t>
            </w:r>
          </w:p>
          <w:p w:rsidR="005C41E4" w:rsidRDefault="005C41E4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2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77972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77972" w:rsidRPr="00A55B0F" w:rsidRDefault="00B77972" w:rsidP="00B779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4051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77972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585 178,00 грн.</w:t>
            </w:r>
          </w:p>
        </w:tc>
      </w:tr>
      <w:tr w:rsidR="008D51AB" w:rsidRPr="00B77972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8D51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Pr="00A55B0F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A5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НГУ (військова частина 3018)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8D51AB" w:rsidRPr="00B77972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AB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37" w:rsidRPr="008E2D37" w:rsidRDefault="008D51AB" w:rsidP="008E2D3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</w:t>
            </w:r>
            <w:r w:rsidR="005C41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ріально – технічне забезпечення, </w:t>
            </w:r>
            <w:r w:rsidR="005C41E4"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 w:rsid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</w:t>
            </w:r>
            <w:r w:rsidR="005C41E4"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)</w:t>
            </w:r>
            <w:r w:rsid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засобів радіо-електронної боротьби, згідно листа</w:t>
            </w:r>
            <w:r w:rsidR="008E2D37"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командира військової частини А </w:t>
            </w:r>
            <w:r w:rsid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7092</w:t>
            </w:r>
            <w:r w:rsidR="008E2D37"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04E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Євгена ЛАВРОВА </w:t>
            </w:r>
            <w:r w:rsidR="008E2D37"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(від 24.04.2024 № 02-09/2784/0-24):</w:t>
            </w:r>
          </w:p>
          <w:p w:rsidR="008D51AB" w:rsidRPr="008D51AB" w:rsidRDefault="008E2D37" w:rsidP="00304E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E2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8D51AB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8D51AB" w:rsidRPr="00A55B0F" w:rsidRDefault="008D51AB" w:rsidP="008D51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7092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AB" w:rsidRP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8D51AB" w:rsidRDefault="008D51AB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750035" w:rsidRPr="00750035" w:rsidTr="00F216D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35" w:rsidRPr="00F216D0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72" w:rsidRPr="00F216D0" w:rsidRDefault="004743CF" w:rsidP="004743CF">
            <w:pPr>
              <w:spacing w:line="240" w:lineRule="auto"/>
              <w:ind w:firstLine="176"/>
              <w:jc w:val="both"/>
              <w:rPr>
                <w:lang w:val="ru-RU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Матеріально-</w:t>
            </w:r>
            <w:r w:rsidR="009F3C72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технічне забезпечення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згідно технічних характеристик</w:t>
            </w:r>
            <w:r w:rsidR="00A54259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(придбання)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поданих в лис</w:t>
            </w:r>
            <w:r w:rsidR="00A54259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ті командира </w:t>
            </w:r>
            <w:r w:rsidR="00A54259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військової частини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</w:t>
            </w:r>
            <w:r w:rsidR="00374CCD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2399 Олександра Широких</w:t>
            </w:r>
            <w:r w:rsidRPr="00F216D0">
              <w:rPr>
                <w:lang w:val="ru-RU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(від 29.04.2024</w:t>
            </w:r>
            <w:r w:rsidR="00374CCD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№ 02-09/2872/0-24)</w:t>
            </w:r>
            <w:r w:rsidR="009F3C72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:</w:t>
            </w:r>
          </w:p>
          <w:p w:rsidR="00750035" w:rsidRPr="00F216D0" w:rsidRDefault="00750035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Безпілотний авіаційний комплекс «ШПІКЕР» (БПАК «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Skiper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»);</w:t>
            </w:r>
          </w:p>
          <w:p w:rsidR="00750035" w:rsidRPr="00F216D0" w:rsidRDefault="00750035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 обладнання нічного бачення для керування ван</w:t>
            </w:r>
            <w:r w:rsidR="009F3C72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тажними та легкими автомобілями;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Система збільшення радіуса дії 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квадрокоптера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з підсилювачами «Берегиня»;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Безпілотний авіаційний комплекс «МАРУГА» (БПАК «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Magura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»);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Квадрокоптер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Autel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EVO </w:t>
            </w:r>
            <w:proofErr w:type="spellStart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Max</w:t>
            </w:r>
            <w:proofErr w:type="spellEnd"/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4T PROTECT+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;</w:t>
            </w:r>
          </w:p>
          <w:p w:rsidR="00D77321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Телескопічна щогла з модулем дистанційного керування, з опцією дистанційної зміни каналів на ві</w:t>
            </w:r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део приймачі та БПАК «</w:t>
            </w:r>
            <w:proofErr w:type="spellStart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Wing</w:t>
            </w:r>
            <w:proofErr w:type="spellEnd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Pro</w:t>
            </w:r>
            <w:proofErr w:type="spellEnd"/>
            <w:r w:rsidR="004743CF"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»;</w:t>
            </w:r>
          </w:p>
          <w:p w:rsidR="009F3C72" w:rsidRPr="00F216D0" w:rsidRDefault="009F3C72" w:rsidP="00374CC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Блок багатоканальної швидкої зарядки модель –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Bandera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Power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610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F21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3CF" w:rsidRPr="00F216D0" w:rsidRDefault="004743CF" w:rsidP="004743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ради,</w:t>
            </w:r>
          </w:p>
          <w:p w:rsidR="004743CF" w:rsidRPr="00F216D0" w:rsidRDefault="004743CF" w:rsidP="004743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Військова частина </w:t>
            </w:r>
          </w:p>
          <w:p w:rsidR="00750035" w:rsidRPr="00F216D0" w:rsidRDefault="00374CCD" w:rsidP="004743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35" w:rsidRPr="00F216D0" w:rsidRDefault="007500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750035" w:rsidRPr="00F216D0" w:rsidRDefault="00750035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9F3C72"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2 5</w:t>
            </w:r>
            <w:r w:rsidRPr="00F216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00 000,00 грн.</w:t>
            </w:r>
          </w:p>
        </w:tc>
      </w:tr>
      <w:tr w:rsidR="00374CCD" w:rsidRPr="0075003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Default="00374CCD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74CCD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374CCD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8D51AB" w:rsidRDefault="00374CCD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74CCD" w:rsidRPr="008D51AB" w:rsidRDefault="00374CCD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A40A6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500 000,00 грн.</w:t>
            </w:r>
          </w:p>
        </w:tc>
      </w:tr>
      <w:tr w:rsidR="00374CCD" w:rsidRPr="0075003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74CCD" w:rsidRPr="003E1B28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374CCD" w:rsidRPr="003E1B28" w:rsidRDefault="00374CCD" w:rsidP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4056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D" w:rsidRPr="003E1B28" w:rsidRDefault="00374CCD" w:rsidP="00FB36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74CCD" w:rsidRPr="003E1B28" w:rsidRDefault="00FB36DA" w:rsidP="00FB36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видатків – 1</w:t>
            </w:r>
            <w:r w:rsidR="00374CCD"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000 000,00 грн.</w:t>
            </w:r>
          </w:p>
        </w:tc>
      </w:tr>
      <w:tr w:rsidR="0030090D" w:rsidRPr="00750035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0D" w:rsidRPr="003E1B28" w:rsidRDefault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0D" w:rsidRPr="003E1B28" w:rsidRDefault="0030090D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0D" w:rsidRPr="003E1B28" w:rsidRDefault="0030090D" w:rsidP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0090D" w:rsidRPr="003E1B28" w:rsidRDefault="0030090D" w:rsidP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Фастівський ТЦК та СП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A5" w:rsidRP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4F4E49" w:rsidRPr="005675AE" w:rsidRDefault="0030090D" w:rsidP="00FB36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F216D0" w:rsidRPr="00EC7DA5" w:rsidTr="007D715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D0" w:rsidRDefault="00F216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27 </w:t>
            </w:r>
          </w:p>
          <w:p w:rsidR="00092C8C" w:rsidRPr="003E1B28" w:rsidRDefault="00092C8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D0" w:rsidRPr="003E1B28" w:rsidRDefault="00F216D0" w:rsidP="004743CF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3E1B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Матеріально – технічне забезпечення 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D0" w:rsidRPr="003E1B28" w:rsidRDefault="00F216D0" w:rsidP="003009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Київський інститут Національно</w:t>
            </w:r>
            <w:r w:rsid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ї гвардії України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A5" w:rsidRP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C7DA5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C7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F216D0" w:rsidRPr="003E1B28" w:rsidRDefault="00EC7DA5" w:rsidP="00EC7D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495 918,00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8F2BF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Pr="0070599F" w:rsidRDefault="00A55B0F" w:rsidP="0070599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374CCD" w:rsidRDefault="00374CCD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B36DA" w:rsidRDefault="00FB36DA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3208F6" w:rsidRDefault="003208F6" w:rsidP="0032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 Національного спротиву Боярської міської те</w:t>
      </w:r>
      <w:r w:rsidR="00A55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риторіальної громади на 2024 рік, у новій редакції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208F6" w:rsidRDefault="003208F6" w:rsidP="003208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2CB" w:rsidRPr="00D14610" w:rsidRDefault="008759C9" w:rsidP="00237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="002372CB"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2CB"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="002372CB"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8759C9" w:rsidRPr="00E104BD" w:rsidRDefault="002372CB" w:rsidP="0023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A40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поза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4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</w:t>
      </w:r>
      <w:r w:rsidR="008759C9"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передбачити </w:t>
      </w:r>
      <w:r w:rsidR="00A55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додаткові </w:t>
      </w:r>
      <w:r w:rsidR="002A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</w:t>
      </w:r>
      <w:r w:rsidR="00E104BD"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304E6D" w:rsidRPr="00A40A6E" w:rsidRDefault="00A55B0F" w:rsidP="00A40A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A40A6E">
        <w:rPr>
          <w:sz w:val="28"/>
          <w:szCs w:val="28"/>
        </w:rPr>
        <w:t>3 000 000,00</w:t>
      </w:r>
      <w:r w:rsidR="00304E6D">
        <w:rPr>
          <w:sz w:val="28"/>
          <w:szCs w:val="28"/>
        </w:rPr>
        <w:t xml:space="preserve"> </w:t>
      </w:r>
      <w:r w:rsidR="00A40A6E">
        <w:rPr>
          <w:sz w:val="28"/>
          <w:szCs w:val="28"/>
        </w:rPr>
        <w:t xml:space="preserve">грн. для </w:t>
      </w:r>
      <w:r w:rsidR="008D51AB" w:rsidRPr="00A40A6E">
        <w:rPr>
          <w:sz w:val="28"/>
          <w:szCs w:val="28"/>
        </w:rPr>
        <w:t xml:space="preserve">Військової частини </w:t>
      </w:r>
      <w:r w:rsidR="003E1B28" w:rsidRPr="00A40A6E">
        <w:rPr>
          <w:sz w:val="28"/>
          <w:szCs w:val="28"/>
        </w:rPr>
        <w:t xml:space="preserve">А </w:t>
      </w:r>
      <w:r w:rsidR="00A40A6E">
        <w:rPr>
          <w:sz w:val="28"/>
          <w:szCs w:val="28"/>
        </w:rPr>
        <w:t>2167.</w:t>
      </w:r>
    </w:p>
    <w:p w:rsidR="002372CB" w:rsidRPr="002A423B" w:rsidRDefault="002372CB" w:rsidP="002A423B">
      <w:pPr>
        <w:pStyle w:val="a7"/>
        <w:ind w:left="720" w:firstLine="0"/>
        <w:rPr>
          <w:sz w:val="28"/>
          <w:szCs w:val="28"/>
        </w:rPr>
      </w:pPr>
    </w:p>
    <w:sectPr w:rsidR="002372CB" w:rsidRPr="002A423B" w:rsidSect="002A423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92C8C"/>
    <w:rsid w:val="000E386F"/>
    <w:rsid w:val="00162355"/>
    <w:rsid w:val="00194C8E"/>
    <w:rsid w:val="0019603B"/>
    <w:rsid w:val="001C6D45"/>
    <w:rsid w:val="00201E26"/>
    <w:rsid w:val="002372CB"/>
    <w:rsid w:val="00243A43"/>
    <w:rsid w:val="00286162"/>
    <w:rsid w:val="002A423B"/>
    <w:rsid w:val="002B2B93"/>
    <w:rsid w:val="0030090D"/>
    <w:rsid w:val="00304E6D"/>
    <w:rsid w:val="00310F37"/>
    <w:rsid w:val="003208F6"/>
    <w:rsid w:val="00372B35"/>
    <w:rsid w:val="00374CCD"/>
    <w:rsid w:val="003C5617"/>
    <w:rsid w:val="003E1B28"/>
    <w:rsid w:val="0041100B"/>
    <w:rsid w:val="004743CF"/>
    <w:rsid w:val="004A3D1A"/>
    <w:rsid w:val="004F4E49"/>
    <w:rsid w:val="005675AE"/>
    <w:rsid w:val="005C41E4"/>
    <w:rsid w:val="005E0FAD"/>
    <w:rsid w:val="0066373C"/>
    <w:rsid w:val="0069371D"/>
    <w:rsid w:val="006D3C64"/>
    <w:rsid w:val="006D5250"/>
    <w:rsid w:val="0070599F"/>
    <w:rsid w:val="00750035"/>
    <w:rsid w:val="00780991"/>
    <w:rsid w:val="007C3E35"/>
    <w:rsid w:val="007D7159"/>
    <w:rsid w:val="007E37F9"/>
    <w:rsid w:val="00833992"/>
    <w:rsid w:val="008759C9"/>
    <w:rsid w:val="008D0CE5"/>
    <w:rsid w:val="008D51AB"/>
    <w:rsid w:val="008E2D37"/>
    <w:rsid w:val="008F2BFF"/>
    <w:rsid w:val="00990EF9"/>
    <w:rsid w:val="009A1EB9"/>
    <w:rsid w:val="009B14D5"/>
    <w:rsid w:val="009D7D72"/>
    <w:rsid w:val="009E6484"/>
    <w:rsid w:val="009F3C72"/>
    <w:rsid w:val="00A40A6E"/>
    <w:rsid w:val="00A417C4"/>
    <w:rsid w:val="00A54259"/>
    <w:rsid w:val="00A55B0F"/>
    <w:rsid w:val="00AC26A2"/>
    <w:rsid w:val="00AC7D62"/>
    <w:rsid w:val="00B10E56"/>
    <w:rsid w:val="00B31F30"/>
    <w:rsid w:val="00B77972"/>
    <w:rsid w:val="00BC4670"/>
    <w:rsid w:val="00C4632A"/>
    <w:rsid w:val="00D4296D"/>
    <w:rsid w:val="00D77321"/>
    <w:rsid w:val="00DB315E"/>
    <w:rsid w:val="00E104BD"/>
    <w:rsid w:val="00EA6C22"/>
    <w:rsid w:val="00EB6AEE"/>
    <w:rsid w:val="00EC7DA5"/>
    <w:rsid w:val="00F216D0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068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5CF4-AC74-47F1-8B96-7DAA4BB9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3</cp:revision>
  <cp:lastPrinted>2024-07-12T07:18:00Z</cp:lastPrinted>
  <dcterms:created xsi:type="dcterms:W3CDTF">2024-07-29T13:22:00Z</dcterms:created>
  <dcterms:modified xsi:type="dcterms:W3CDTF">2024-07-29T13:23:00Z</dcterms:modified>
</cp:coreProperties>
</file>