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4D" w:rsidRDefault="002B6F4D" w:rsidP="002B6F4D">
      <w:pPr>
        <w:pStyle w:val="a5"/>
        <w:ind w:left="444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FF7FF00" wp14:editId="67FE92B7">
            <wp:extent cx="424800" cy="68400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17" cy="68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4D" w:rsidRDefault="002B6F4D" w:rsidP="002B6F4D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2B6F4D" w:rsidRPr="005C34E7" w:rsidRDefault="002B6F4D" w:rsidP="002B6F4D">
      <w:pPr>
        <w:pStyle w:val="1"/>
        <w:ind w:right="2313"/>
        <w:jc w:val="center"/>
        <w:rPr>
          <w:rFonts w:eastAsiaTheme="minorHAnsi"/>
          <w:bCs w:val="0"/>
          <w:szCs w:val="22"/>
          <w:lang w:val="ru-RU"/>
        </w:rPr>
      </w:pPr>
      <w:r w:rsidRPr="005C34E7">
        <w:rPr>
          <w:rFonts w:eastAsiaTheme="minorHAnsi"/>
          <w:bCs w:val="0"/>
          <w:szCs w:val="22"/>
          <w:lang w:val="ru-RU"/>
        </w:rPr>
        <w:t>VІIІ СКЛИКАННЯ</w:t>
      </w:r>
    </w:p>
    <w:p w:rsidR="005038D5" w:rsidRDefault="005038D5" w:rsidP="005038D5">
      <w:pPr>
        <w:pStyle w:val="1"/>
        <w:ind w:right="2313"/>
        <w:jc w:val="center"/>
        <w:rPr>
          <w:rFonts w:eastAsiaTheme="minorHAnsi"/>
          <w:bCs w:val="0"/>
          <w:szCs w:val="22"/>
          <w:lang w:val="ru-RU"/>
        </w:rPr>
      </w:pPr>
      <w:r>
        <w:rPr>
          <w:rFonts w:eastAsiaTheme="minorHAnsi"/>
          <w:bCs w:val="0"/>
          <w:szCs w:val="22"/>
        </w:rPr>
        <w:t>Позачергова 24</w:t>
      </w:r>
      <w:r>
        <w:rPr>
          <w:rFonts w:eastAsiaTheme="minorHAnsi"/>
          <w:bCs w:val="0"/>
          <w:szCs w:val="22"/>
          <w:lang w:val="ru-RU"/>
        </w:rPr>
        <w:t xml:space="preserve">  </w:t>
      </w:r>
      <w:proofErr w:type="spellStart"/>
      <w:r>
        <w:rPr>
          <w:rFonts w:eastAsiaTheme="minorHAnsi"/>
          <w:bCs w:val="0"/>
          <w:szCs w:val="22"/>
          <w:lang w:val="ru-RU"/>
        </w:rPr>
        <w:t>сесія</w:t>
      </w:r>
      <w:proofErr w:type="spellEnd"/>
      <w:r>
        <w:rPr>
          <w:rFonts w:eastAsiaTheme="minorHAnsi"/>
          <w:bCs w:val="0"/>
          <w:szCs w:val="22"/>
          <w:lang w:val="ru-RU"/>
        </w:rPr>
        <w:t xml:space="preserve"> </w:t>
      </w:r>
    </w:p>
    <w:p w:rsidR="002B6F4D" w:rsidRDefault="002B6F4D" w:rsidP="002B6F4D">
      <w:pPr>
        <w:pStyle w:val="1"/>
        <w:ind w:right="2313"/>
        <w:jc w:val="center"/>
        <w:rPr>
          <w:rFonts w:eastAsiaTheme="minorHAnsi"/>
          <w:bCs w:val="0"/>
          <w:szCs w:val="22"/>
          <w:lang w:val="ru-RU"/>
        </w:rPr>
      </w:pPr>
    </w:p>
    <w:p w:rsidR="00FD21FA" w:rsidRDefault="002B6F4D" w:rsidP="00FD21FA">
      <w:pPr>
        <w:pStyle w:val="1"/>
        <w:ind w:right="2313"/>
        <w:jc w:val="center"/>
      </w:pPr>
      <w:r>
        <w:t>РІШЕННЯ</w:t>
      </w:r>
      <w:r w:rsidR="00FD21FA">
        <w:t xml:space="preserve"> </w:t>
      </w:r>
      <w:r w:rsidR="00FD21FA">
        <w:t>№   24/1629</w:t>
      </w:r>
    </w:p>
    <w:p w:rsidR="00FD21FA" w:rsidRPr="00FD21FA" w:rsidRDefault="00FD21FA" w:rsidP="00FD21FA">
      <w:pPr>
        <w:pStyle w:val="a5"/>
        <w:spacing w:before="65"/>
        <w:ind w:left="2917" w:right="50" w:hanging="2917"/>
        <w:rPr>
          <w:b/>
        </w:rPr>
      </w:pPr>
      <w:r w:rsidRPr="00FD21FA">
        <w:rPr>
          <w:b/>
        </w:rPr>
        <w:t xml:space="preserve"> </w:t>
      </w:r>
      <w:r w:rsidR="005038D5" w:rsidRPr="00FD21FA">
        <w:rPr>
          <w:b/>
        </w:rPr>
        <w:t>19</w:t>
      </w:r>
      <w:r w:rsidRPr="00FD21FA">
        <w:rPr>
          <w:b/>
        </w:rPr>
        <w:t xml:space="preserve"> </w:t>
      </w:r>
      <w:r w:rsidR="002B6F4D" w:rsidRPr="00FD21FA">
        <w:rPr>
          <w:b/>
        </w:rPr>
        <w:t xml:space="preserve"> травня 2022</w:t>
      </w:r>
      <w:r w:rsidR="002B6F4D" w:rsidRPr="00FD21FA">
        <w:rPr>
          <w:b/>
          <w:spacing w:val="-4"/>
        </w:rPr>
        <w:t xml:space="preserve"> </w:t>
      </w:r>
      <w:r w:rsidR="002B6F4D" w:rsidRPr="00FD21FA">
        <w:rPr>
          <w:b/>
        </w:rPr>
        <w:t xml:space="preserve">року     </w:t>
      </w:r>
      <w:r w:rsidRPr="00FD21FA">
        <w:rPr>
          <w:b/>
          <w:lang w:val="en-US"/>
        </w:rPr>
        <w:t xml:space="preserve">                                                                         </w:t>
      </w:r>
      <w:r w:rsidR="002B6F4D" w:rsidRPr="00FD21FA">
        <w:rPr>
          <w:b/>
        </w:rPr>
        <w:t xml:space="preserve"> </w:t>
      </w:r>
      <w:r w:rsidRPr="00FD21FA">
        <w:rPr>
          <w:b/>
        </w:rPr>
        <w:t>м.</w:t>
      </w:r>
      <w:r w:rsidRPr="00FD21FA">
        <w:rPr>
          <w:b/>
          <w:spacing w:val="-4"/>
        </w:rPr>
        <w:t xml:space="preserve"> </w:t>
      </w:r>
      <w:r w:rsidRPr="00FD21FA">
        <w:rPr>
          <w:b/>
        </w:rPr>
        <w:t>Боярка</w:t>
      </w:r>
    </w:p>
    <w:p w:rsidR="002B6F4D" w:rsidRDefault="002B6F4D" w:rsidP="002B6F4D">
      <w:pPr>
        <w:pStyle w:val="a5"/>
        <w:tabs>
          <w:tab w:val="left" w:pos="7428"/>
        </w:tabs>
        <w:spacing w:before="59"/>
        <w:ind w:left="102"/>
      </w:pPr>
      <w:r>
        <w:tab/>
      </w:r>
      <w:r>
        <w:tab/>
      </w: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Про затвердження Програми</w:t>
      </w: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 xml:space="preserve">заходів національного спротиву </w:t>
      </w: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Бо</w:t>
      </w: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 xml:space="preserve">ярської міської </w:t>
      </w: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 xml:space="preserve">територіальної </w:t>
      </w: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громади на 2022 рік</w:t>
      </w:r>
    </w:p>
    <w:p w:rsidR="002B6F4D" w:rsidRPr="006A2D1E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Pr="00FA34C0" w:rsidRDefault="002B6F4D" w:rsidP="002B6F4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К</w:t>
      </w:r>
      <w:r w:rsidRPr="006A2D1E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еруючись Законами України «Про місцеве самоврядування в Україні», «Про правовий режим воєнного стану», «Про основи національного спротиву», 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відповідно</w:t>
      </w:r>
      <w:r w:rsidRPr="003A7C6F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до статей 23, 24, пункту 22 розділу </w:t>
      </w:r>
      <w:r>
        <w:rPr>
          <w:rFonts w:ascii="Times New Roman" w:eastAsia="Times New Roman" w:hAnsi="Times New Roman" w:cs="Times New Roman"/>
          <w:color w:val="252B33"/>
          <w:sz w:val="28"/>
          <w:szCs w:val="28"/>
        </w:rPr>
        <w:t>VI</w:t>
      </w:r>
      <w:r w:rsidRPr="006A2D1E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 «Прикінцеві та перехідні положення»  Бюджетного кодексу</w:t>
      </w:r>
      <w:r w:rsidRPr="006A2D1E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 України,  </w:t>
      </w:r>
      <w:r w:rsidR="0024178D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Указом Президента України від 24.02.2022 року №64/2022 «Про введення воєнного стану в Україні»,</w:t>
      </w:r>
      <w:r w:rsidR="00EE0836" w:rsidRPr="00EE0836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 </w:t>
      </w:r>
      <w:r w:rsidR="00EE0836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р</w:t>
      </w:r>
      <w:r w:rsidR="00EE0836" w:rsidRPr="006A2D1E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озглянувши пропозицію </w:t>
      </w:r>
      <w:r w:rsidR="00EE0836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міського голови Олександра ЗАРУБІНА,</w:t>
      </w:r>
      <w:r w:rsidR="0024178D" w:rsidRPr="006A2D1E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 </w:t>
      </w:r>
      <w:r w:rsidRPr="006A2D1E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з метою забезпечення виконання заходів підготовки території </w:t>
      </w:r>
      <w:r w:rsidRPr="000C657F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Боярської міської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 </w:t>
      </w:r>
      <w:r w:rsidRPr="006A2D1E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територіальної громади до оборони в особливий період, </w:t>
      </w:r>
      <w:r w:rsidR="0024178D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-</w:t>
      </w:r>
      <w:r w:rsidR="00BA3267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 указ проведення військового стану в Україні з 24.02.2022р.</w:t>
      </w:r>
    </w:p>
    <w:p w:rsidR="002B6F4D" w:rsidRPr="005C34E7" w:rsidRDefault="002B6F4D" w:rsidP="002B6F4D">
      <w:pPr>
        <w:pStyle w:val="a5"/>
        <w:spacing w:before="7"/>
        <w:ind w:firstLine="567"/>
        <w:jc w:val="center"/>
        <w:rPr>
          <w:b/>
        </w:rPr>
      </w:pPr>
      <w:r w:rsidRPr="005C34E7">
        <w:rPr>
          <w:b/>
        </w:rPr>
        <w:t>БОЯРСЬКА МІСЬКА РАДА</w:t>
      </w:r>
    </w:p>
    <w:p w:rsidR="002B6F4D" w:rsidRDefault="002B6F4D" w:rsidP="002B6F4D">
      <w:pPr>
        <w:pStyle w:val="1"/>
        <w:ind w:left="0" w:right="-92" w:firstLine="567"/>
        <w:jc w:val="center"/>
      </w:pPr>
      <w:r>
        <w:t>ВИРІШИЛА:</w:t>
      </w:r>
    </w:p>
    <w:p w:rsidR="002B6F4D" w:rsidRPr="00FA34C0" w:rsidRDefault="002B6F4D" w:rsidP="002B6F4D">
      <w:pPr>
        <w:shd w:val="clear" w:color="auto" w:fill="FFFFFF"/>
        <w:spacing w:after="0" w:line="240" w:lineRule="auto"/>
        <w:ind w:firstLine="567"/>
        <w:rPr>
          <w:color w:val="252B33"/>
          <w:sz w:val="28"/>
          <w:szCs w:val="28"/>
        </w:rPr>
      </w:pPr>
    </w:p>
    <w:p w:rsidR="002B6F4D" w:rsidRPr="00134EEC" w:rsidRDefault="002B6F4D" w:rsidP="002B6F4D">
      <w:pPr>
        <w:pStyle w:val="a7"/>
        <w:numPr>
          <w:ilvl w:val="0"/>
          <w:numId w:val="1"/>
        </w:numPr>
        <w:shd w:val="clear" w:color="auto" w:fill="FFFFFF"/>
        <w:ind w:left="0" w:firstLine="567"/>
        <w:rPr>
          <w:color w:val="252B33"/>
          <w:sz w:val="28"/>
          <w:szCs w:val="28"/>
        </w:rPr>
      </w:pPr>
      <w:r w:rsidRPr="00134EEC">
        <w:rPr>
          <w:color w:val="252B33"/>
          <w:sz w:val="28"/>
          <w:szCs w:val="28"/>
        </w:rPr>
        <w:t xml:space="preserve">Затвердити «Програму </w:t>
      </w:r>
      <w:r w:rsidRPr="00134EEC">
        <w:rPr>
          <w:bCs/>
          <w:color w:val="252B33"/>
          <w:sz w:val="28"/>
          <w:szCs w:val="28"/>
        </w:rPr>
        <w:t>заходів національного спротиву</w:t>
      </w:r>
      <w:r w:rsidRPr="00134EEC">
        <w:rPr>
          <w:color w:val="252B33"/>
          <w:sz w:val="28"/>
          <w:szCs w:val="28"/>
        </w:rPr>
        <w:t xml:space="preserve"> Боярської міської територіальної громади на 2022 рік» (додаток).</w:t>
      </w:r>
    </w:p>
    <w:p w:rsidR="002B6F4D" w:rsidRPr="00134EEC" w:rsidRDefault="002B6F4D" w:rsidP="002B6F4D">
      <w:pPr>
        <w:pStyle w:val="a7"/>
        <w:numPr>
          <w:ilvl w:val="0"/>
          <w:numId w:val="1"/>
        </w:numPr>
        <w:shd w:val="clear" w:color="auto" w:fill="FFFFFF"/>
        <w:ind w:left="0" w:firstLine="567"/>
        <w:rPr>
          <w:color w:val="252B33"/>
          <w:sz w:val="28"/>
          <w:szCs w:val="28"/>
        </w:rPr>
      </w:pPr>
      <w:r w:rsidRPr="00134EEC">
        <w:rPr>
          <w:sz w:val="28"/>
        </w:rPr>
        <w:t>Управлінню фін</w:t>
      </w:r>
      <w:bookmarkStart w:id="0" w:name="_GoBack"/>
      <w:bookmarkEnd w:id="0"/>
      <w:r w:rsidRPr="00134EEC">
        <w:rPr>
          <w:sz w:val="28"/>
        </w:rPr>
        <w:t>ансів</w:t>
      </w:r>
      <w:r w:rsidRPr="00134EEC">
        <w:rPr>
          <w:spacing w:val="1"/>
          <w:sz w:val="28"/>
        </w:rPr>
        <w:t xml:space="preserve"> </w:t>
      </w:r>
      <w:r w:rsidRPr="00134EEC">
        <w:rPr>
          <w:sz w:val="28"/>
        </w:rPr>
        <w:t xml:space="preserve">передбачити в бюджеті міської територіальної громади </w:t>
      </w:r>
      <w:r w:rsidRPr="00134EEC">
        <w:rPr>
          <w:spacing w:val="1"/>
          <w:sz w:val="28"/>
        </w:rPr>
        <w:t xml:space="preserve"> </w:t>
      </w:r>
      <w:r w:rsidRPr="00134EEC">
        <w:rPr>
          <w:sz w:val="28"/>
        </w:rPr>
        <w:t>кошти</w:t>
      </w:r>
      <w:r w:rsidRPr="00134EEC">
        <w:rPr>
          <w:spacing w:val="-1"/>
          <w:sz w:val="28"/>
        </w:rPr>
        <w:t xml:space="preserve"> </w:t>
      </w:r>
      <w:r w:rsidRPr="00134EEC">
        <w:rPr>
          <w:sz w:val="28"/>
        </w:rPr>
        <w:t>на</w:t>
      </w:r>
      <w:r w:rsidRPr="00134EEC">
        <w:rPr>
          <w:spacing w:val="-3"/>
          <w:sz w:val="28"/>
        </w:rPr>
        <w:t xml:space="preserve"> </w:t>
      </w:r>
      <w:r w:rsidRPr="00134EEC">
        <w:rPr>
          <w:sz w:val="28"/>
        </w:rPr>
        <w:t>реалізацію</w:t>
      </w:r>
      <w:r w:rsidRPr="00134EEC">
        <w:rPr>
          <w:spacing w:val="-4"/>
          <w:sz w:val="28"/>
        </w:rPr>
        <w:t xml:space="preserve"> </w:t>
      </w:r>
      <w:r w:rsidRPr="00134EEC">
        <w:rPr>
          <w:sz w:val="28"/>
        </w:rPr>
        <w:t>зазначеної</w:t>
      </w:r>
      <w:r w:rsidRPr="00134EEC">
        <w:rPr>
          <w:spacing w:val="1"/>
          <w:sz w:val="28"/>
        </w:rPr>
        <w:t xml:space="preserve"> </w:t>
      </w:r>
      <w:r w:rsidRPr="00134EEC">
        <w:rPr>
          <w:sz w:val="28"/>
        </w:rPr>
        <w:t>Програми.</w:t>
      </w:r>
    </w:p>
    <w:p w:rsidR="002B6F4D" w:rsidRPr="00134EEC" w:rsidRDefault="002B6F4D" w:rsidP="002B6F4D">
      <w:pPr>
        <w:pStyle w:val="a7"/>
        <w:numPr>
          <w:ilvl w:val="0"/>
          <w:numId w:val="1"/>
        </w:numPr>
        <w:tabs>
          <w:tab w:val="left" w:pos="1067"/>
        </w:tabs>
        <w:ind w:left="0" w:right="229" w:firstLine="567"/>
        <w:rPr>
          <w:color w:val="252B33"/>
          <w:sz w:val="28"/>
          <w:szCs w:val="28"/>
        </w:rPr>
      </w:pPr>
      <w:r w:rsidRPr="00134EEC">
        <w:rPr>
          <w:sz w:val="28"/>
        </w:rPr>
        <w:t>Контроль</w:t>
      </w:r>
      <w:r w:rsidRPr="00134EEC">
        <w:rPr>
          <w:spacing w:val="1"/>
          <w:sz w:val="28"/>
        </w:rPr>
        <w:t xml:space="preserve"> </w:t>
      </w:r>
      <w:r w:rsidRPr="00134EEC">
        <w:rPr>
          <w:sz w:val="28"/>
        </w:rPr>
        <w:t>за</w:t>
      </w:r>
      <w:r w:rsidRPr="00134EEC">
        <w:rPr>
          <w:spacing w:val="1"/>
          <w:sz w:val="28"/>
        </w:rPr>
        <w:t xml:space="preserve"> </w:t>
      </w:r>
      <w:r w:rsidRPr="00134EEC">
        <w:rPr>
          <w:sz w:val="28"/>
        </w:rPr>
        <w:t>виконанням</w:t>
      </w:r>
      <w:r w:rsidRPr="00134EEC">
        <w:rPr>
          <w:spacing w:val="1"/>
          <w:sz w:val="28"/>
        </w:rPr>
        <w:t xml:space="preserve"> </w:t>
      </w:r>
      <w:r w:rsidRPr="00134EEC">
        <w:rPr>
          <w:sz w:val="28"/>
        </w:rPr>
        <w:t>цього</w:t>
      </w:r>
      <w:r w:rsidRPr="00134EEC">
        <w:rPr>
          <w:spacing w:val="1"/>
          <w:sz w:val="28"/>
        </w:rPr>
        <w:t xml:space="preserve"> </w:t>
      </w:r>
      <w:r w:rsidRPr="00134EEC">
        <w:rPr>
          <w:color w:val="252B33"/>
          <w:sz w:val="28"/>
          <w:szCs w:val="28"/>
        </w:rPr>
        <w:t>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2B6F4D" w:rsidRDefault="002B6F4D" w:rsidP="002B6F4D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2B6F4D" w:rsidRPr="00A14A37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52B33"/>
          <w:sz w:val="28"/>
          <w:szCs w:val="28"/>
          <w:lang w:val="uk-UA"/>
        </w:rPr>
        <w:t>Міський</w:t>
      </w:r>
      <w:r w:rsidRPr="00A14A37">
        <w:rPr>
          <w:rFonts w:ascii="Times New Roman" w:eastAsia="Times New Roman" w:hAnsi="Times New Roman" w:cs="Times New Roman"/>
          <w:b/>
          <w:color w:val="252B33"/>
          <w:sz w:val="28"/>
          <w:szCs w:val="28"/>
          <w:lang w:val="uk-UA"/>
        </w:rPr>
        <w:t xml:space="preserve"> голова                                       </w:t>
      </w:r>
      <w:r>
        <w:rPr>
          <w:rFonts w:ascii="Times New Roman" w:eastAsia="Times New Roman" w:hAnsi="Times New Roman" w:cs="Times New Roman"/>
          <w:b/>
          <w:color w:val="252B33"/>
          <w:sz w:val="28"/>
          <w:szCs w:val="28"/>
          <w:lang w:val="uk-UA"/>
        </w:rPr>
        <w:t xml:space="preserve">                            Олександр ЗАРУБІН</w:t>
      </w: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 </w:t>
      </w:r>
    </w:p>
    <w:p w:rsidR="00FD21FA" w:rsidRDefault="00FD21FA" w:rsidP="00FD2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005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Згідно з оригінало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r w:rsidRPr="00D005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FD21FA" w:rsidRPr="00D0050A" w:rsidRDefault="00FD21FA" w:rsidP="00FD2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Олексій ПЕРФІЛОВ</w:t>
      </w: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F4D" w:rsidRDefault="002B6F4D" w:rsidP="002B6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F4D" w:rsidRDefault="002B6F4D" w:rsidP="002B6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F4D" w:rsidRDefault="002B6F4D" w:rsidP="002B6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F4D" w:rsidRDefault="002B6F4D" w:rsidP="002B6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F4D" w:rsidRDefault="002B6F4D" w:rsidP="002B6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F4D" w:rsidRDefault="002B6F4D" w:rsidP="002B6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F4D" w:rsidRDefault="002B6F4D" w:rsidP="002B6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F4D" w:rsidRDefault="002B6F4D" w:rsidP="002B6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F4D" w:rsidRDefault="002B6F4D" w:rsidP="002B6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267" w:rsidRDefault="00BA3267" w:rsidP="002B6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267" w:rsidRDefault="00BA3267" w:rsidP="002B6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F4D" w:rsidRDefault="002B6F4D" w:rsidP="002B6F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F4D" w:rsidRPr="007B625F" w:rsidRDefault="002B6F4D" w:rsidP="002B6F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625F">
        <w:rPr>
          <w:rFonts w:ascii="Times New Roman" w:hAnsi="Times New Roman" w:cs="Times New Roman"/>
          <w:sz w:val="28"/>
          <w:szCs w:val="28"/>
          <w:lang w:val="ru-RU"/>
        </w:rPr>
        <w:t>ПІДГОТ</w:t>
      </w:r>
      <w:r>
        <w:rPr>
          <w:rFonts w:ascii="Times New Roman" w:hAnsi="Times New Roman" w:cs="Times New Roman"/>
          <w:sz w:val="28"/>
          <w:szCs w:val="28"/>
          <w:lang w:val="ru-RU"/>
        </w:rPr>
        <w:t>ОВЛЕНО</w:t>
      </w:r>
      <w:r w:rsidRPr="007B625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B6F4D" w:rsidRDefault="002B6F4D" w:rsidP="002B6F4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військово-облікового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бюро </w:t>
      </w:r>
    </w:p>
    <w:p w:rsidR="002B6F4D" w:rsidRPr="007B625F" w:rsidRDefault="002B6F4D" w:rsidP="002B6F4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Олег СИДОР</w:t>
      </w:r>
    </w:p>
    <w:p w:rsidR="002B6F4D" w:rsidRDefault="002B6F4D" w:rsidP="002B6F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B6F4D" w:rsidRDefault="002B6F4D" w:rsidP="002B6F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6F4D" w:rsidRPr="00B270A7" w:rsidRDefault="002B6F4D" w:rsidP="002B6F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70A7">
        <w:rPr>
          <w:rFonts w:ascii="Times New Roman" w:hAnsi="Times New Roman" w:cs="Times New Roman"/>
          <w:sz w:val="28"/>
          <w:szCs w:val="28"/>
          <w:lang w:val="ru-RU"/>
        </w:rPr>
        <w:t>ПОГОДЖЕНО:</w:t>
      </w:r>
    </w:p>
    <w:p w:rsidR="002B6F4D" w:rsidRPr="00B245CC" w:rsidRDefault="002B6F4D" w:rsidP="002B6F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Перший заступник міського голови                                            Валерій ШУЛЬГА</w:t>
      </w: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Заступник міського голови                                                        Віталій МАЗУРЕЦЬ</w:t>
      </w: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Начальник управління фінансів                                                 Тетяна ПЕТРЕНКО</w:t>
      </w: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Начальник юридичного відділу                                                 Леся МАРУЖЕНКО</w:t>
      </w:r>
    </w:p>
    <w:p w:rsidR="002B6F4D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</w:p>
    <w:p w:rsidR="00EE0836" w:rsidRDefault="00EE0836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4"/>
          <w:szCs w:val="24"/>
          <w:lang w:val="uk-UA"/>
        </w:rPr>
      </w:pPr>
    </w:p>
    <w:p w:rsidR="00EE0836" w:rsidRDefault="00EE0836" w:rsidP="00BA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52B33"/>
          <w:sz w:val="24"/>
          <w:szCs w:val="24"/>
          <w:lang w:val="uk-UA"/>
        </w:rPr>
      </w:pPr>
    </w:p>
    <w:p w:rsidR="00EE0836" w:rsidRDefault="00EE0836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4"/>
          <w:szCs w:val="24"/>
          <w:lang w:val="uk-UA"/>
        </w:rPr>
      </w:pPr>
    </w:p>
    <w:p w:rsidR="00D82A98" w:rsidRDefault="00D82A98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4"/>
          <w:szCs w:val="24"/>
          <w:lang w:val="uk-UA"/>
        </w:rPr>
      </w:pPr>
    </w:p>
    <w:p w:rsidR="00D82A98" w:rsidRDefault="00D82A98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4"/>
          <w:szCs w:val="24"/>
          <w:lang w:val="uk-UA"/>
        </w:rPr>
      </w:pPr>
    </w:p>
    <w:p w:rsidR="00EE0836" w:rsidRDefault="00EE0836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4"/>
          <w:szCs w:val="24"/>
          <w:lang w:val="uk-UA"/>
        </w:rPr>
      </w:pPr>
    </w:p>
    <w:p w:rsidR="00D344F8" w:rsidRDefault="00D344F8" w:rsidP="00D344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/>
          <w:color w:val="252B33"/>
          <w:sz w:val="24"/>
          <w:szCs w:val="24"/>
          <w:lang w:val="uk-UA"/>
        </w:rPr>
        <w:t xml:space="preserve">Додаток </w:t>
      </w:r>
    </w:p>
    <w:p w:rsidR="00D344F8" w:rsidRDefault="00D344F8" w:rsidP="00D344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lang w:val="uk-UA"/>
        </w:rPr>
      </w:pPr>
      <w:r>
        <w:rPr>
          <w:rFonts w:ascii="Times New Roman" w:eastAsia="Times New Roman" w:hAnsi="Times New Roman" w:cs="Times New Roman"/>
          <w:bCs/>
          <w:i/>
          <w:color w:val="252B33"/>
          <w:lang w:val="uk-UA"/>
        </w:rPr>
        <w:t xml:space="preserve">до рішення позачергової  сесії </w:t>
      </w:r>
    </w:p>
    <w:p w:rsidR="00D344F8" w:rsidRDefault="00D344F8" w:rsidP="00D344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lang w:val="uk-UA"/>
        </w:rPr>
      </w:pPr>
      <w:r>
        <w:rPr>
          <w:rFonts w:ascii="Times New Roman" w:eastAsia="Times New Roman" w:hAnsi="Times New Roman" w:cs="Times New Roman"/>
          <w:bCs/>
          <w:i/>
          <w:color w:val="252B33"/>
          <w:lang w:val="uk-UA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bCs/>
          <w:i/>
          <w:color w:val="252B33"/>
        </w:rPr>
        <w:t>VIII</w:t>
      </w:r>
      <w:r>
        <w:rPr>
          <w:rFonts w:ascii="Times New Roman" w:eastAsia="Times New Roman" w:hAnsi="Times New Roman" w:cs="Times New Roman"/>
          <w:bCs/>
          <w:i/>
          <w:color w:val="252B33"/>
          <w:lang w:val="uk-UA"/>
        </w:rPr>
        <w:t>скликання</w:t>
      </w:r>
    </w:p>
    <w:p w:rsidR="00D344F8" w:rsidRDefault="00D344F8" w:rsidP="00D344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lang w:val="uk-UA"/>
        </w:rPr>
      </w:pPr>
      <w:r>
        <w:rPr>
          <w:rFonts w:ascii="Times New Roman" w:eastAsia="Times New Roman" w:hAnsi="Times New Roman" w:cs="Times New Roman"/>
          <w:bCs/>
          <w:i/>
          <w:color w:val="252B33"/>
          <w:lang w:val="uk-UA"/>
        </w:rPr>
        <w:t>від 19 травня 2022 року №24/1629</w:t>
      </w:r>
    </w:p>
    <w:p w:rsidR="002B6F4D" w:rsidRPr="005C34E7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lang w:val="uk-UA"/>
        </w:rPr>
      </w:pPr>
    </w:p>
    <w:p w:rsidR="002B6F4D" w:rsidRPr="005C34E7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Pr="00403951" w:rsidRDefault="002B6F4D" w:rsidP="002B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Програма</w:t>
      </w: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 xml:space="preserve"> </w:t>
      </w: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 xml:space="preserve"> </w:t>
      </w:r>
    </w:p>
    <w:p w:rsidR="002B6F4D" w:rsidRPr="006A2D1E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Боярської міської</w:t>
      </w: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 xml:space="preserve"> територіальної громади на 2022 рік</w:t>
      </w: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D82A98" w:rsidRDefault="00D82A98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Pr="006A2D1E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Pr="006A2D1E" w:rsidRDefault="002B6F4D" w:rsidP="002B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Pr="006A2D1E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ПАСПОРТ</w:t>
      </w: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Програми з</w:t>
      </w: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аходів національного спротиву</w:t>
      </w: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 xml:space="preserve"> </w:t>
      </w:r>
    </w:p>
    <w:p w:rsidR="002B6F4D" w:rsidRPr="006A2D1E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 w:rsidRPr="000C657F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 xml:space="preserve">Боярської міської </w:t>
      </w: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територіальної громади на 2022 рік</w:t>
      </w:r>
    </w:p>
    <w:p w:rsidR="002B6F4D" w:rsidRPr="006A2D1E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Pr="006A2D1E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2B6F4D" w:rsidRPr="00C94135" w:rsidTr="00D95A3F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 Боярської міської ради</w:t>
            </w:r>
          </w:p>
        </w:tc>
      </w:tr>
      <w:tr w:rsidR="002B6F4D" w:rsidRPr="00C94135" w:rsidTr="00D95A3F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CE6BCC" w:rsidRDefault="002B6F4D" w:rsidP="00D95A3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Військово-облікове бюро виконавчого комітету Боярської міської ради</w:t>
            </w:r>
            <w:r w:rsidR="009658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B6F4D" w:rsidRPr="00504B2A" w:rsidTr="00D95A3F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фінансів 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ярської</w:t>
            </w: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</w:t>
            </w: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ради</w:t>
            </w:r>
            <w:r w:rsidR="00143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добровольче формування Боярської територіальної програми №1 ім. Євгена Коновальця.</w:t>
            </w:r>
          </w:p>
        </w:tc>
      </w:tr>
      <w:tr w:rsidR="002B6F4D" w:rsidRPr="00C94135" w:rsidTr="00D95A3F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 Боярської міської ради</w:t>
            </w:r>
          </w:p>
        </w:tc>
      </w:tr>
      <w:tr w:rsidR="002B6F4D" w:rsidRPr="00504B2A" w:rsidTr="00D95A3F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 Боярської міської ради,</w:t>
            </w:r>
            <w:r w:rsidRPr="007C4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комунальні підприємства, </w:t>
            </w:r>
            <w:r w:rsidR="0050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засновник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яких є Боярська міська рада, управління гуманітарного розвитку Боярської міської ради</w:t>
            </w:r>
            <w:r w:rsidR="00143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43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 w:rsidR="00143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1F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B6F4D" w:rsidRPr="00FA048A" w:rsidTr="00D95A3F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 рік</w:t>
            </w:r>
          </w:p>
        </w:tc>
      </w:tr>
      <w:tr w:rsidR="002B6F4D" w:rsidRPr="00C94135" w:rsidTr="00D95A3F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r w:rsidRPr="000C65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Боярської міської </w:t>
            </w: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територіальної громади, інші джерела не заборонені законодавством</w:t>
            </w:r>
          </w:p>
        </w:tc>
      </w:tr>
      <w:tr w:rsidR="002B6F4D" w:rsidRPr="00C94135" w:rsidTr="00D95A3F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B6F4D" w:rsidRPr="006A2D1E" w:rsidRDefault="002B6F4D" w:rsidP="00D95A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межах коштів передбачених в</w:t>
            </w:r>
            <w:r w:rsidRPr="006A2D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Pr="006A2D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відповідні цілі за кодом програмної класифікації видатків</w:t>
            </w:r>
          </w:p>
        </w:tc>
      </w:tr>
    </w:tbl>
    <w:p w:rsidR="002B6F4D" w:rsidRPr="006A2D1E" w:rsidRDefault="002B6F4D" w:rsidP="002B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 </w:t>
      </w:r>
    </w:p>
    <w:p w:rsidR="002B6F4D" w:rsidRDefault="002B6F4D" w:rsidP="002B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 </w:t>
      </w:r>
    </w:p>
    <w:p w:rsidR="002B6F4D" w:rsidRDefault="002B6F4D" w:rsidP="002B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Default="002B6F4D" w:rsidP="002B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Pr="00FA34C0" w:rsidRDefault="002B6F4D" w:rsidP="002B6F4D">
      <w:pPr>
        <w:pStyle w:val="a7"/>
        <w:numPr>
          <w:ilvl w:val="0"/>
          <w:numId w:val="2"/>
        </w:numPr>
        <w:shd w:val="clear" w:color="auto" w:fill="FFFFFF"/>
        <w:jc w:val="center"/>
        <w:rPr>
          <w:b/>
          <w:bCs/>
          <w:color w:val="252B33"/>
          <w:sz w:val="28"/>
          <w:szCs w:val="28"/>
        </w:rPr>
      </w:pPr>
      <w:r w:rsidRPr="00FA34C0">
        <w:rPr>
          <w:b/>
          <w:bCs/>
          <w:color w:val="252B33"/>
          <w:sz w:val="28"/>
          <w:szCs w:val="28"/>
        </w:rPr>
        <w:lastRenderedPageBreak/>
        <w:t>Визначення проблемних питань, на розв’язання яких спрямована Програма</w:t>
      </w:r>
    </w:p>
    <w:p w:rsidR="002B6F4D" w:rsidRPr="006A2D1E" w:rsidRDefault="002B6F4D" w:rsidP="002B6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2B6F4D" w:rsidRPr="006A2D1E" w:rsidRDefault="002B6F4D" w:rsidP="002B6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2B6F4D" w:rsidRPr="006A2D1E" w:rsidRDefault="002B6F4D" w:rsidP="002B6F4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6A2D1E">
        <w:rPr>
          <w:color w:val="333333"/>
          <w:sz w:val="28"/>
          <w:szCs w:val="28"/>
          <w:lang w:val="uk-UA"/>
        </w:rPr>
        <w:t>У межах завдань територіальної оборони, визначених</w:t>
      </w:r>
      <w:r>
        <w:rPr>
          <w:color w:val="333333"/>
          <w:sz w:val="28"/>
          <w:szCs w:val="28"/>
          <w:lang w:val="uk-UA"/>
        </w:rPr>
        <w:t xml:space="preserve"> </w:t>
      </w:r>
      <w:hyperlink r:id="rId7" w:tgtFrame="_blank" w:history="1">
        <w:r w:rsidRPr="006A2D1E">
          <w:rPr>
            <w:rStyle w:val="a3"/>
            <w:color w:val="000099"/>
            <w:sz w:val="28"/>
            <w:szCs w:val="28"/>
            <w:lang w:val="uk-UA"/>
          </w:rPr>
          <w:t>Законом</w:t>
        </w:r>
      </w:hyperlink>
      <w:r w:rsidRPr="006A2D1E">
        <w:rPr>
          <w:color w:val="333333"/>
          <w:sz w:val="28"/>
          <w:szCs w:val="28"/>
          <w:lang w:val="uk-UA"/>
        </w:rPr>
        <w:t>, створюються добровольчі формування територіальних громад, які можуть провадити таку діяльність: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1" w:name="n15"/>
      <w:bookmarkEnd w:id="1"/>
      <w:r>
        <w:rPr>
          <w:color w:val="333333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2" w:name="n16"/>
      <w:bookmarkEnd w:id="2"/>
      <w:r>
        <w:rPr>
          <w:color w:val="333333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333333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4" w:name="n18"/>
      <w:bookmarkEnd w:id="4"/>
      <w:r>
        <w:rPr>
          <w:color w:val="333333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5" w:name="n19"/>
      <w:bookmarkEnd w:id="5"/>
      <w:r>
        <w:rPr>
          <w:color w:val="333333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6" w:name="n20"/>
      <w:bookmarkEnd w:id="6"/>
      <w:r>
        <w:rPr>
          <w:color w:val="333333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7" w:name="n21"/>
      <w:bookmarkEnd w:id="7"/>
      <w:r>
        <w:rPr>
          <w:color w:val="333333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333333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9" w:name="n23"/>
      <w:bookmarkEnd w:id="9"/>
      <w:r>
        <w:rPr>
          <w:color w:val="333333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10" w:name="n24"/>
      <w:bookmarkEnd w:id="10"/>
      <w:r>
        <w:rPr>
          <w:color w:val="333333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11" w:name="n25"/>
      <w:bookmarkEnd w:id="11"/>
      <w:r>
        <w:rPr>
          <w:color w:val="333333"/>
          <w:sz w:val="28"/>
          <w:szCs w:val="28"/>
          <w:lang w:val="uk-UA"/>
        </w:rPr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12" w:name="n26"/>
      <w:bookmarkEnd w:id="12"/>
      <w:r>
        <w:rPr>
          <w:color w:val="333333"/>
          <w:sz w:val="28"/>
          <w:szCs w:val="28"/>
          <w:lang w:val="uk-UA"/>
        </w:rPr>
        <w:lastRenderedPageBreak/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13" w:name="n27"/>
      <w:bookmarkEnd w:id="13"/>
      <w:r>
        <w:rPr>
          <w:color w:val="333333"/>
          <w:sz w:val="28"/>
          <w:szCs w:val="28"/>
          <w:lang w:val="uk-UA"/>
        </w:rPr>
        <w:t>12)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14" w:name="n28"/>
      <w:bookmarkEnd w:id="14"/>
      <w:r>
        <w:rPr>
          <w:color w:val="333333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15" w:name="n29"/>
      <w:bookmarkEnd w:id="15"/>
      <w:r>
        <w:rPr>
          <w:color w:val="333333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16" w:name="n30"/>
      <w:bookmarkEnd w:id="16"/>
      <w:r>
        <w:rPr>
          <w:color w:val="333333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17" w:name="n31"/>
      <w:bookmarkEnd w:id="17"/>
      <w:r>
        <w:rPr>
          <w:color w:val="333333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військово-патріотичне виховання громадян України;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29.12.2021р. №1449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, постанови Кабінету Міністрів України від 01.03.2022р. №175 «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2B6F4D" w:rsidRPr="006A2D1E" w:rsidRDefault="002B6F4D" w:rsidP="002B6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2. Мета Програми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Комплексне завдання програми щодо: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-підготовки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-підготовки громадян до національного спротиву у воєнний час.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3. Фінансування Програми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18" w:name="n8"/>
      <w:bookmarkEnd w:id="18"/>
      <w:r>
        <w:rPr>
          <w:color w:val="333333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19" w:name="n9"/>
      <w:bookmarkEnd w:id="19"/>
      <w:r>
        <w:rPr>
          <w:color w:val="333333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20" w:name="n10"/>
      <w:bookmarkEnd w:id="20"/>
      <w:r>
        <w:rPr>
          <w:color w:val="333333"/>
          <w:sz w:val="28"/>
          <w:szCs w:val="28"/>
          <w:lang w:val="uk-UA"/>
        </w:rPr>
        <w:t>- обсяг коштів, що виділяються з резервного фонду бюджету.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252B33"/>
          <w:sz w:val="28"/>
          <w:szCs w:val="28"/>
          <w:lang w:val="uk-UA"/>
        </w:rPr>
        <w:t xml:space="preserve">Відповідно до ст.14 Закону України «Про основи національного спротиву» сільські, селищні та міські ради забезпечують у межах відповідних видатків </w:t>
      </w:r>
      <w:r>
        <w:rPr>
          <w:color w:val="252B33"/>
          <w:sz w:val="28"/>
          <w:szCs w:val="28"/>
          <w:lang w:val="uk-UA"/>
        </w:rPr>
        <w:lastRenderedPageBreak/>
        <w:t>місцевих бюджетів належне фінансування заходів територіальної оборони місцевого значення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 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4. Завдання Програми та результативні показники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Виконання Програми дасть змогу забезпечити: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територій у безпечні місця; здійснення оплати транспортних послуг, пально-мастильних матеріалів тощо;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C94135" w:rsidRDefault="00C94135" w:rsidP="00C94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C94135" w:rsidRDefault="00C94135" w:rsidP="00C9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252B33"/>
          <w:sz w:val="28"/>
          <w:szCs w:val="28"/>
          <w:lang w:val="uk-UA"/>
        </w:rPr>
        <w:t xml:space="preserve">  </w:t>
      </w:r>
      <w:r>
        <w:rPr>
          <w:color w:val="333333"/>
          <w:sz w:val="28"/>
          <w:szCs w:val="28"/>
          <w:lang w:val="uk-UA"/>
        </w:rPr>
        <w:t xml:space="preserve">Реалізацію заходів Програми, що стосуються використання коштів резервного фонду,  здійснювати шляхом придбання відповідних товарно-матеріальних цінностей та послідуючої їх передачі для потреб </w:t>
      </w:r>
      <w:r>
        <w:rPr>
          <w:color w:val="252B33"/>
          <w:sz w:val="28"/>
          <w:szCs w:val="28"/>
          <w:lang w:val="uk-UA"/>
        </w:rPr>
        <w:t>добровольчого формування Боярської міської територіальної громади</w:t>
      </w:r>
      <w:r>
        <w:rPr>
          <w:color w:val="333333"/>
          <w:sz w:val="28"/>
          <w:szCs w:val="28"/>
          <w:lang w:val="uk-UA"/>
        </w:rPr>
        <w:t>.</w:t>
      </w:r>
    </w:p>
    <w:p w:rsidR="00C94135" w:rsidRDefault="00C94135" w:rsidP="00C9413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Для відображення видатків на реалізацію заходів Програми передбачено КПКВК 8240 «Заходи та роботи з територіальної</w:t>
      </w:r>
      <w:r>
        <w:rPr>
          <w:color w:val="252B33"/>
          <w:sz w:val="28"/>
          <w:szCs w:val="28"/>
          <w:lang w:val="uk-UA"/>
        </w:rPr>
        <w:t xml:space="preserve"> оборони».       </w:t>
      </w:r>
    </w:p>
    <w:p w:rsidR="002B6F4D" w:rsidRDefault="002B6F4D" w:rsidP="002B6F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D82A98" w:rsidRDefault="00D82A98" w:rsidP="002B6F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D82A98" w:rsidRDefault="00D82A98" w:rsidP="002B6F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D82A98" w:rsidRPr="00875329" w:rsidRDefault="00D82A98" w:rsidP="002B6F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</w:p>
    <w:p w:rsidR="002B6F4D" w:rsidRPr="006A2D1E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lastRenderedPageBreak/>
        <w:t>Напрями</w:t>
      </w:r>
    </w:p>
    <w:p w:rsidR="002B6F4D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</w:pP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реалізації заходів Програм</w:t>
      </w: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и</w:t>
      </w: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 xml:space="preserve"> національного спротиву </w:t>
      </w:r>
      <w:r w:rsidRPr="000C657F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 xml:space="preserve">Боярської міської </w:t>
      </w:r>
      <w:r w:rsidRPr="006A2D1E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/>
        </w:rPr>
        <w:t>територіальної громади на 2022 рік</w:t>
      </w:r>
    </w:p>
    <w:p w:rsidR="002B6F4D" w:rsidRPr="009E00E6" w:rsidRDefault="002B6F4D" w:rsidP="002B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16"/>
          <w:szCs w:val="16"/>
          <w:lang w:val="uk-UA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4785"/>
        <w:gridCol w:w="1843"/>
        <w:gridCol w:w="2722"/>
      </w:tblGrid>
      <w:tr w:rsidR="002B6F4D" w:rsidRPr="009E00E6" w:rsidTr="005A1253">
        <w:tc>
          <w:tcPr>
            <w:tcW w:w="568" w:type="dxa"/>
          </w:tcPr>
          <w:p w:rsidR="002B6F4D" w:rsidRPr="009E00E6" w:rsidRDefault="002B6F4D" w:rsidP="00D95A3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A2D1E">
              <w:rPr>
                <w:rFonts w:ascii="Times New Roman" w:eastAsia="Times New Roman" w:hAnsi="Times New Roman" w:cs="Times New Roman"/>
                <w:color w:val="252B33"/>
                <w:sz w:val="28"/>
                <w:szCs w:val="28"/>
                <w:lang w:val="uk-UA"/>
              </w:rPr>
              <w:t> </w:t>
            </w:r>
            <w:r w:rsidRPr="009E00E6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4785" w:type="dxa"/>
          </w:tcPr>
          <w:p w:rsidR="002B6F4D" w:rsidRPr="009E00E6" w:rsidRDefault="002B6F4D" w:rsidP="00D95A3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напряму</w:t>
            </w:r>
          </w:p>
        </w:tc>
        <w:tc>
          <w:tcPr>
            <w:tcW w:w="1843" w:type="dxa"/>
          </w:tcPr>
          <w:p w:rsidR="002B6F4D" w:rsidRPr="009E00E6" w:rsidRDefault="002B6F4D" w:rsidP="00D95A3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Виконавці</w:t>
            </w:r>
          </w:p>
        </w:tc>
        <w:tc>
          <w:tcPr>
            <w:tcW w:w="2722" w:type="dxa"/>
          </w:tcPr>
          <w:p w:rsidR="002B6F4D" w:rsidRPr="009E00E6" w:rsidRDefault="002B6F4D" w:rsidP="00D95A3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Фінансування</w:t>
            </w:r>
          </w:p>
        </w:tc>
      </w:tr>
      <w:tr w:rsidR="002B6F4D" w:rsidRPr="00C94135" w:rsidTr="005A1253">
        <w:tc>
          <w:tcPr>
            <w:tcW w:w="568" w:type="dxa"/>
          </w:tcPr>
          <w:p w:rsidR="002B6F4D" w:rsidRPr="009E00E6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4785" w:type="dxa"/>
          </w:tcPr>
          <w:p w:rsidR="002B6F4D" w:rsidRPr="00BA3267" w:rsidRDefault="002B6F4D" w:rsidP="00E71FE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Придбання продуктів харчування, медикаментів, лікарських засобів, перев’язувальних матеріалів, засобів </w:t>
            </w:r>
            <w:r w:rsidR="00504B2A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радіозв’язку, основних засобів, засобів гігієни та індивідуального захисту, 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предметів та матеріалів </w:t>
            </w:r>
            <w:r w:rsidR="00C94135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для підрозділів добровольчого формування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територіальної оборони</w:t>
            </w:r>
            <w:r w:rsidR="00E71FEA" w:rsidRPr="00BA326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Боярської територіальної громади ім. </w:t>
            </w:r>
            <w:proofErr w:type="spellStart"/>
            <w:r w:rsidR="00E71FEA" w:rsidRPr="00BA326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Є.Коновальця</w:t>
            </w:r>
            <w:proofErr w:type="spellEnd"/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, в тому числі створення запасів.</w:t>
            </w:r>
          </w:p>
        </w:tc>
        <w:tc>
          <w:tcPr>
            <w:tcW w:w="1843" w:type="dxa"/>
          </w:tcPr>
          <w:p w:rsidR="002B6F4D" w:rsidRPr="009E00E6" w:rsidRDefault="002B6F4D" w:rsidP="00E71FE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 w:rsidR="0054442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</w:p>
        </w:tc>
        <w:tc>
          <w:tcPr>
            <w:tcW w:w="2722" w:type="dxa"/>
          </w:tcPr>
          <w:p w:rsidR="002B6F4D" w:rsidRPr="009E00E6" w:rsidRDefault="002B6F4D" w:rsidP="00A14E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  <w:r w:rsidR="005A125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2B6F4D" w:rsidRPr="00C94135" w:rsidTr="005A1253">
        <w:tc>
          <w:tcPr>
            <w:tcW w:w="568" w:type="dxa"/>
          </w:tcPr>
          <w:p w:rsidR="002B6F4D" w:rsidRPr="009E00E6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4785" w:type="dxa"/>
          </w:tcPr>
          <w:p w:rsidR="002B6F4D" w:rsidRPr="00BA3267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Придбання предметів та матеріалів для облаштування об’єкт</w:t>
            </w:r>
            <w:r w:rsidR="00C94135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ів для підрозділів  добровольчого формування 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територіальної оборони</w:t>
            </w:r>
            <w:r w:rsidR="00E71FEA" w:rsidRPr="00BA326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Боярської територіальної громади ім. </w:t>
            </w:r>
            <w:proofErr w:type="spellStart"/>
            <w:r w:rsidR="00E71FEA" w:rsidRPr="00BA326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Є.Коновальця</w:t>
            </w:r>
            <w:proofErr w:type="spellEnd"/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3" w:type="dxa"/>
          </w:tcPr>
          <w:p w:rsidR="002B6F4D" w:rsidRPr="009E00E6" w:rsidRDefault="002B6F4D" w:rsidP="00E71FE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 w:rsidR="005A125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2B6F4D" w:rsidRPr="009E00E6" w:rsidRDefault="00965875" w:rsidP="00A14E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2B6F4D" w:rsidRPr="00C94135" w:rsidTr="005A1253">
        <w:tc>
          <w:tcPr>
            <w:tcW w:w="568" w:type="dxa"/>
          </w:tcPr>
          <w:p w:rsidR="002B6F4D" w:rsidRPr="009E00E6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4785" w:type="dxa"/>
          </w:tcPr>
          <w:p w:rsidR="002B6F4D" w:rsidRPr="00BA3267" w:rsidRDefault="002B6F4D" w:rsidP="00A4230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Забезпечення перевезення особового </w:t>
            </w:r>
            <w:r w:rsidR="00C94135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складу підрозділів  добровольчого формування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територіальної оборони, сил опору, резервістів, військових, поліції, працівників критичної інфраструктури до місць </w:t>
            </w:r>
            <w:r w:rsidR="00A42302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дислокації та виконання завдань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, в тому числі придбання пально-мастильних матеріалів</w:t>
            </w:r>
          </w:p>
        </w:tc>
        <w:tc>
          <w:tcPr>
            <w:tcW w:w="1843" w:type="dxa"/>
          </w:tcPr>
          <w:p w:rsidR="002B6F4D" w:rsidRPr="009E00E6" w:rsidRDefault="002B6F4D" w:rsidP="00E71FE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 w:rsidR="005A12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2B6F4D" w:rsidRPr="009E00E6" w:rsidRDefault="002B6F4D" w:rsidP="00A14E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  <w:r w:rsidR="0054442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2B6F4D" w:rsidRPr="00C94135" w:rsidTr="005A1253">
        <w:tc>
          <w:tcPr>
            <w:tcW w:w="568" w:type="dxa"/>
          </w:tcPr>
          <w:p w:rsidR="002B6F4D" w:rsidRPr="009E00E6" w:rsidRDefault="002B6F4D" w:rsidP="00D95A3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lastRenderedPageBreak/>
              <w:t>4</w:t>
            </w:r>
          </w:p>
        </w:tc>
        <w:tc>
          <w:tcPr>
            <w:tcW w:w="4785" w:type="dxa"/>
          </w:tcPr>
          <w:p w:rsidR="002B6F4D" w:rsidRPr="00BA3267" w:rsidRDefault="002B6F4D" w:rsidP="00C9413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Забезпечення освітлення для нічного патрулювання </w:t>
            </w:r>
            <w:r w:rsidR="00A42302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та спостереження 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підрозділами </w:t>
            </w:r>
            <w:r w:rsidR="00C94135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добровольчого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формуван</w:t>
            </w:r>
            <w:r w:rsidR="00C94135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ня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E71FEA" w:rsidRPr="00BA326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Боярської територіальної громади ім. </w:t>
            </w:r>
            <w:proofErr w:type="spellStart"/>
            <w:r w:rsidR="00E71FEA" w:rsidRPr="00BA326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Є.Коновальця</w:t>
            </w:r>
            <w:proofErr w:type="spellEnd"/>
            <w:r w:rsidR="00E71FEA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(оплата електроенергії</w:t>
            </w:r>
            <w:r w:rsidR="00A42302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, комунальні послуги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)</w:t>
            </w:r>
          </w:p>
        </w:tc>
        <w:tc>
          <w:tcPr>
            <w:tcW w:w="1843" w:type="dxa"/>
          </w:tcPr>
          <w:p w:rsidR="002B6F4D" w:rsidRPr="009E00E6" w:rsidRDefault="002B6F4D" w:rsidP="00E71FE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 w:rsidR="005A12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2B6F4D" w:rsidRPr="009E00E6" w:rsidRDefault="002B6F4D" w:rsidP="0054442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бюджеті Боярської міської територіальної громади  на відповідні цілі за кодом програмної класифікації видатків</w:t>
            </w:r>
            <w:r w:rsidR="0054442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2B6F4D" w:rsidRPr="00C94135" w:rsidTr="005A1253">
        <w:tc>
          <w:tcPr>
            <w:tcW w:w="568" w:type="dxa"/>
          </w:tcPr>
          <w:p w:rsidR="002B6F4D" w:rsidRPr="009E00E6" w:rsidRDefault="002B6F4D" w:rsidP="00D95A3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4785" w:type="dxa"/>
          </w:tcPr>
          <w:p w:rsidR="002B6F4D" w:rsidRPr="00BA3267" w:rsidRDefault="002B6F4D" w:rsidP="00D95A3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2B6F4D" w:rsidRPr="00BA3267" w:rsidRDefault="002B6F4D" w:rsidP="00D95A3F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-оплата пально-мастильних матеріалів;</w:t>
            </w:r>
          </w:p>
          <w:p w:rsidR="002B6F4D" w:rsidRPr="00BA3267" w:rsidRDefault="002B6F4D" w:rsidP="00D95A3F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- виплата заробітної плати водіям;</w:t>
            </w:r>
          </w:p>
          <w:p w:rsidR="002B6F4D" w:rsidRPr="00BA3267" w:rsidRDefault="002B6F4D" w:rsidP="00D95A3F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-здійснення технічного обслуговування автобусів;</w:t>
            </w:r>
          </w:p>
          <w:p w:rsidR="002B6F4D" w:rsidRPr="00BA3267" w:rsidRDefault="002B6F4D" w:rsidP="00D95A3F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- закупівля запасних частин;</w:t>
            </w:r>
          </w:p>
          <w:p w:rsidR="002B6F4D" w:rsidRPr="00BA3267" w:rsidRDefault="002B6F4D" w:rsidP="00D95A3F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3" w:type="dxa"/>
          </w:tcPr>
          <w:p w:rsidR="002B6F4D" w:rsidRPr="00471F7A" w:rsidRDefault="002B6F4D" w:rsidP="00D95A3F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ради, Кому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нальне </w:t>
            </w:r>
            <w:r w:rsidRPr="00D40C3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підприємство </w:t>
            </w:r>
            <w:r w:rsidRPr="004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«Транспортне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1F7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підприємство»</w:t>
            </w:r>
          </w:p>
          <w:p w:rsidR="002B6F4D" w:rsidRPr="009E00E6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Боярської міської ради</w:t>
            </w:r>
          </w:p>
        </w:tc>
        <w:tc>
          <w:tcPr>
            <w:tcW w:w="2722" w:type="dxa"/>
          </w:tcPr>
          <w:p w:rsidR="002B6F4D" w:rsidRPr="009E00E6" w:rsidRDefault="002B6F4D" w:rsidP="00A14E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бюджеті Боярської міської територіальної громади на відповідні цілі за кодом програмної класифікації видатків</w:t>
            </w:r>
            <w:r w:rsidR="0054442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2B6F4D" w:rsidRPr="00C94135" w:rsidTr="005A1253">
        <w:tc>
          <w:tcPr>
            <w:tcW w:w="568" w:type="dxa"/>
          </w:tcPr>
          <w:p w:rsidR="002B6F4D" w:rsidRPr="009E00E6" w:rsidRDefault="002B6F4D" w:rsidP="00D95A3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6</w:t>
            </w:r>
          </w:p>
          <w:p w:rsidR="002B6F4D" w:rsidRPr="009E00E6" w:rsidRDefault="002B6F4D" w:rsidP="00D95A3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2B6F4D" w:rsidRPr="00BA3267" w:rsidRDefault="002B6F4D" w:rsidP="00D95A3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3" w:type="dxa"/>
          </w:tcPr>
          <w:p w:rsidR="002B6F4D" w:rsidRPr="009E00E6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</w:p>
        </w:tc>
        <w:tc>
          <w:tcPr>
            <w:tcW w:w="2722" w:type="dxa"/>
          </w:tcPr>
          <w:p w:rsidR="002B6F4D" w:rsidRPr="009E00E6" w:rsidRDefault="002B6F4D" w:rsidP="00A14E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бюджеті Боярської міської територіальної громади на відповідні цілі за кодом програмної класифікації видатків</w:t>
            </w:r>
            <w:r w:rsidR="0096587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2B6F4D" w:rsidRPr="00C94135" w:rsidTr="005A1253">
        <w:tc>
          <w:tcPr>
            <w:tcW w:w="568" w:type="dxa"/>
          </w:tcPr>
          <w:p w:rsidR="002B6F4D" w:rsidRPr="009E00E6" w:rsidRDefault="002B6F4D" w:rsidP="00D95A3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4785" w:type="dxa"/>
          </w:tcPr>
          <w:p w:rsidR="002B6F4D" w:rsidRPr="00BA3267" w:rsidRDefault="002B6F4D" w:rsidP="00D95A3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Виконання першочергових заходів підготовки території Боярської міської територіальної громади до оборони в особливий період</w:t>
            </w:r>
            <w:r w:rsidR="000E5593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(обладнання блокпостів, </w:t>
            </w:r>
            <w:proofErr w:type="spellStart"/>
            <w:r w:rsidR="00BC45D3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укриттів</w:t>
            </w:r>
            <w:proofErr w:type="spellEnd"/>
            <w:r w:rsidR="000E5593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та ін.)</w:t>
            </w:r>
          </w:p>
          <w:p w:rsidR="000E5593" w:rsidRPr="00BA3267" w:rsidRDefault="000E5593" w:rsidP="00D95A3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843" w:type="dxa"/>
          </w:tcPr>
          <w:p w:rsidR="002B6F4D" w:rsidRPr="009E00E6" w:rsidRDefault="00E71FEA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Виконавчий комітет міської ради</w:t>
            </w:r>
          </w:p>
        </w:tc>
        <w:tc>
          <w:tcPr>
            <w:tcW w:w="2722" w:type="dxa"/>
          </w:tcPr>
          <w:p w:rsidR="002B6F4D" w:rsidRPr="009E00E6" w:rsidRDefault="00965875" w:rsidP="00A14E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 межах коштів передбачених в  бюджеті Боярської міської територіальної громади на </w:t>
            </w: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відповідні цілі за кодом програмної класифікації видатків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2B6F4D" w:rsidRPr="00C94135" w:rsidTr="005A1253">
        <w:tc>
          <w:tcPr>
            <w:tcW w:w="568" w:type="dxa"/>
          </w:tcPr>
          <w:p w:rsidR="002B6F4D" w:rsidRPr="009E00E6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8</w:t>
            </w:r>
          </w:p>
        </w:tc>
        <w:tc>
          <w:tcPr>
            <w:tcW w:w="4785" w:type="dxa"/>
          </w:tcPr>
          <w:p w:rsidR="002B6F4D" w:rsidRPr="00BA3267" w:rsidRDefault="002B6F4D" w:rsidP="00D95A3F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Виплата </w:t>
            </w:r>
            <w:r w:rsidR="00C94135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членам добровольчого формування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E71FEA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Боярської територіальної </w:t>
            </w:r>
            <w:r w:rsidR="00BC45D3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громади</w:t>
            </w:r>
            <w:r w:rsidR="00E71FEA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№1 </w:t>
            </w:r>
            <w:proofErr w:type="spellStart"/>
            <w:r w:rsidR="00E71FEA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ім.Євгена</w:t>
            </w:r>
            <w:proofErr w:type="spellEnd"/>
            <w:r w:rsidR="00E71FEA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Коновальця</w:t>
            </w:r>
            <w:r w:rsidR="00E71FEA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грошового заохочення (винагороди</w:t>
            </w:r>
            <w:r w:rsidR="000E5593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при виконанні </w:t>
            </w:r>
            <w:r w:rsidR="00C94135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бойових 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завдань</w:t>
            </w:r>
            <w:r w:rsidR="00C94135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,</w:t>
            </w:r>
            <w:r w:rsidR="000E5593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відповідно до  наданих командиром ДФТГ списків) </w:t>
            </w:r>
          </w:p>
          <w:p w:rsidR="002B6F4D" w:rsidRPr="00BA3267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843" w:type="dxa"/>
          </w:tcPr>
          <w:p w:rsidR="002B6F4D" w:rsidRPr="009E00E6" w:rsidRDefault="002B6F4D" w:rsidP="00E71FE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 w:rsidR="00E71F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12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2B6F4D" w:rsidRPr="009E00E6" w:rsidRDefault="002B6F4D" w:rsidP="00A14E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бюджеті Боярської міської територіальної громади на відповідні цілі за кодом програмної класифікації видатків</w:t>
            </w:r>
            <w:r w:rsidR="0096587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2B6F4D" w:rsidRPr="00C94135" w:rsidTr="005A1253">
        <w:tc>
          <w:tcPr>
            <w:tcW w:w="568" w:type="dxa"/>
          </w:tcPr>
          <w:p w:rsidR="002B6F4D" w:rsidRPr="009E00E6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  <w:tc>
          <w:tcPr>
            <w:tcW w:w="4785" w:type="dxa"/>
          </w:tcPr>
          <w:p w:rsidR="002B6F4D" w:rsidRPr="00BA3267" w:rsidRDefault="002B6F4D" w:rsidP="00BC45D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Придбання вживаних транспортних засобів для </w:t>
            </w:r>
            <w:r w:rsidR="00C94135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потреб добровольчого формування</w:t>
            </w:r>
            <w:r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територіальної оборони</w:t>
            </w:r>
            <w:r w:rsidR="00E71FEA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Боярської територіальної </w:t>
            </w:r>
            <w:r w:rsidR="00BC45D3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громади</w:t>
            </w:r>
            <w:r w:rsidR="00E71FEA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№1 </w:t>
            </w:r>
            <w:proofErr w:type="spellStart"/>
            <w:r w:rsidR="00E71FEA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ім.Євгена</w:t>
            </w:r>
            <w:proofErr w:type="spellEnd"/>
            <w:r w:rsidR="00E71FEA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Коновальця</w:t>
            </w:r>
          </w:p>
        </w:tc>
        <w:tc>
          <w:tcPr>
            <w:tcW w:w="1843" w:type="dxa"/>
          </w:tcPr>
          <w:p w:rsidR="002B6F4D" w:rsidRPr="009E00E6" w:rsidRDefault="002B6F4D" w:rsidP="00E71FE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 w:rsidR="005A12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2B6F4D" w:rsidRPr="009E00E6" w:rsidRDefault="002B6F4D" w:rsidP="00A14E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бюджеті Боярської міської територіальної громади на відповідні цілі за кодом програмної класифікації видатків</w:t>
            </w:r>
            <w:r w:rsidR="0096587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2B6F4D" w:rsidRPr="00C94135" w:rsidTr="005A1253">
        <w:tc>
          <w:tcPr>
            <w:tcW w:w="568" w:type="dxa"/>
          </w:tcPr>
          <w:p w:rsidR="002B6F4D" w:rsidRPr="009E00E6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</w:p>
        </w:tc>
        <w:tc>
          <w:tcPr>
            <w:tcW w:w="4785" w:type="dxa"/>
          </w:tcPr>
          <w:p w:rsidR="002B6F4D" w:rsidRPr="00BA3267" w:rsidRDefault="002B6F4D" w:rsidP="00BC45D3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BA326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Придбання військового спорядження (касок, бронежилетів, розвантажувальних жилетів</w:t>
            </w:r>
            <w:r w:rsidR="00C94135" w:rsidRPr="00BA326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, військової форми</w:t>
            </w:r>
            <w:r w:rsidR="00C213B3" w:rsidRPr="00BA326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, взуття</w:t>
            </w:r>
            <w:r w:rsidRPr="00BA326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тощо) для </w:t>
            </w:r>
            <w:r w:rsidR="00C94135" w:rsidRPr="00BA326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потреб  добровольчого </w:t>
            </w:r>
            <w:r w:rsidR="00BC45D3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формування Боярської територіальної громади №1 </w:t>
            </w:r>
            <w:proofErr w:type="spellStart"/>
            <w:r w:rsidR="00BC45D3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ім.Євгена</w:t>
            </w:r>
            <w:proofErr w:type="spellEnd"/>
            <w:r w:rsidR="00BC45D3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Коновальця</w:t>
            </w:r>
            <w:r w:rsidR="00BC45D3" w:rsidRPr="00BA326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BA326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територіальної оборони</w:t>
            </w:r>
          </w:p>
        </w:tc>
        <w:tc>
          <w:tcPr>
            <w:tcW w:w="1843" w:type="dxa"/>
          </w:tcPr>
          <w:p w:rsidR="002B6F4D" w:rsidRPr="009E00E6" w:rsidRDefault="002B6F4D" w:rsidP="00BC45D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 w:rsidR="005A12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Добровольче </w:t>
            </w:r>
          </w:p>
        </w:tc>
        <w:tc>
          <w:tcPr>
            <w:tcW w:w="2722" w:type="dxa"/>
          </w:tcPr>
          <w:p w:rsidR="002B6F4D" w:rsidRPr="009E00E6" w:rsidRDefault="002B6F4D" w:rsidP="00A14E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бюджеті Боярської міської територіальної громади на відповідні цілі за кодом програмної класифікації видатків</w:t>
            </w:r>
            <w:r w:rsidR="0096587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2B6F4D" w:rsidRPr="00C94135" w:rsidTr="005A1253">
        <w:tc>
          <w:tcPr>
            <w:tcW w:w="568" w:type="dxa"/>
          </w:tcPr>
          <w:p w:rsidR="002B6F4D" w:rsidRPr="009E00E6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</w:p>
        </w:tc>
        <w:tc>
          <w:tcPr>
            <w:tcW w:w="4785" w:type="dxa"/>
          </w:tcPr>
          <w:p w:rsidR="002B6F4D" w:rsidRPr="00BA3267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BA326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Інші видатки для забезпечення матеріально-технічними засобами та фінансування </w:t>
            </w:r>
            <w:r w:rsidR="00C94135" w:rsidRPr="00BA326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діяльності добровольчого формування</w:t>
            </w:r>
            <w:r w:rsidRPr="00BA326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 територіальної оборони</w:t>
            </w:r>
            <w:r w:rsidR="00BA3267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Боярської територіальної громади №1 </w:t>
            </w:r>
            <w:proofErr w:type="spellStart"/>
            <w:r w:rsidR="00BA3267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lastRenderedPageBreak/>
              <w:t>ім.Євгена</w:t>
            </w:r>
            <w:proofErr w:type="spellEnd"/>
            <w:r w:rsidR="00BA3267" w:rsidRPr="00BA326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Коновальця</w:t>
            </w:r>
            <w:r w:rsidR="00BA3267" w:rsidRPr="00BA326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3" w:type="dxa"/>
          </w:tcPr>
          <w:p w:rsidR="002B6F4D" w:rsidRPr="009E00E6" w:rsidRDefault="002B6F4D" w:rsidP="00BC45D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Виконавчий комітет міської ради</w:t>
            </w:r>
            <w:r w:rsidR="005A12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2B6F4D" w:rsidRPr="009E00E6" w:rsidRDefault="002B6F4D" w:rsidP="00A14E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</w:t>
            </w: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кодом програмної класифікації видатків</w:t>
            </w:r>
            <w:r w:rsidR="0096587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2B6F4D" w:rsidRPr="00C94135" w:rsidTr="005A1253">
        <w:tc>
          <w:tcPr>
            <w:tcW w:w="568" w:type="dxa"/>
          </w:tcPr>
          <w:p w:rsidR="002B6F4D" w:rsidRPr="009E00E6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12</w:t>
            </w:r>
          </w:p>
        </w:tc>
        <w:tc>
          <w:tcPr>
            <w:tcW w:w="4785" w:type="dxa"/>
          </w:tcPr>
          <w:p w:rsidR="002B6F4D" w:rsidRPr="001A4C98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1A4C9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2B6F4D" w:rsidRPr="001A4C98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1A4C9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-організації харчування </w:t>
            </w:r>
            <w:r w:rsidR="00C9413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добровольчого формування</w:t>
            </w:r>
            <w:r w:rsidRPr="001970C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міської  територіальної</w:t>
            </w:r>
            <w:r w:rsidRPr="001A4C9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громади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1A4C9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та  евакуйованого цивільного населення; </w:t>
            </w:r>
          </w:p>
          <w:p w:rsidR="002B6F4D" w:rsidRPr="001A4C98" w:rsidRDefault="002B6F4D" w:rsidP="00D95A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1A4C9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2B6F4D" w:rsidRPr="001A4C98" w:rsidRDefault="002B6F4D" w:rsidP="00D95A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1A4C9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-оплата комунальних послуг та енергоносіїв, необхідних для надання </w:t>
            </w:r>
            <w:r w:rsidR="00D40C3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послуг з харчування добровольчого формування</w:t>
            </w:r>
            <w:r w:rsidRPr="001A4C9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2B6F4D" w:rsidRPr="001A4C98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1A4C9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3" w:type="dxa"/>
          </w:tcPr>
          <w:p w:rsidR="002B6F4D" w:rsidRPr="009E00E6" w:rsidRDefault="002B6F4D" w:rsidP="00D95A3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ради, управління гуманітарного розвитку</w:t>
            </w:r>
          </w:p>
        </w:tc>
        <w:tc>
          <w:tcPr>
            <w:tcW w:w="2722" w:type="dxa"/>
          </w:tcPr>
          <w:p w:rsidR="002B6F4D" w:rsidRPr="009E00E6" w:rsidRDefault="002B6F4D" w:rsidP="00A14E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  <w:r w:rsidR="0096587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5A1253" w:rsidRPr="00C94135" w:rsidTr="005A1253">
        <w:tc>
          <w:tcPr>
            <w:tcW w:w="568" w:type="dxa"/>
          </w:tcPr>
          <w:p w:rsidR="005A1253" w:rsidRPr="009E00E6" w:rsidRDefault="005A1253" w:rsidP="005A125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</w:t>
            </w:r>
          </w:p>
        </w:tc>
        <w:tc>
          <w:tcPr>
            <w:tcW w:w="4785" w:type="dxa"/>
          </w:tcPr>
          <w:p w:rsidR="005A1253" w:rsidRPr="001A4C98" w:rsidRDefault="00965875" w:rsidP="005A1253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3" w:type="dxa"/>
          </w:tcPr>
          <w:p w:rsidR="005A1253" w:rsidRPr="009E00E6" w:rsidRDefault="005A1253" w:rsidP="00BC45D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5A1253" w:rsidRPr="009E00E6" w:rsidRDefault="005A1253" w:rsidP="00A14E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E00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  <w:r w:rsidR="0096587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</w:tbl>
    <w:p w:rsidR="002B6F4D" w:rsidRPr="00ED2A7F" w:rsidRDefault="002B6F4D" w:rsidP="002B6F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98" w:rsidRPr="00ED2A7F" w:rsidRDefault="00D82A98" w:rsidP="002B6F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6F4D" w:rsidRPr="00FD21FA" w:rsidRDefault="00FD21FA" w:rsidP="002B6F4D">
      <w:pPr>
        <w:tabs>
          <w:tab w:val="left" w:pos="77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FD2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Тетяна КОЧКОВА</w:t>
      </w:r>
    </w:p>
    <w:sectPr w:rsidR="002B6F4D" w:rsidRPr="00FD21FA" w:rsidSect="00EA77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2B6F"/>
    <w:multiLevelType w:val="hybridMultilevel"/>
    <w:tmpl w:val="57BC1C3E"/>
    <w:lvl w:ilvl="0" w:tplc="1BFE47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77"/>
    <w:rsid w:val="00061B35"/>
    <w:rsid w:val="000855DB"/>
    <w:rsid w:val="000E5593"/>
    <w:rsid w:val="0014314A"/>
    <w:rsid w:val="00165EC0"/>
    <w:rsid w:val="00227B77"/>
    <w:rsid w:val="0024178D"/>
    <w:rsid w:val="002B6F4D"/>
    <w:rsid w:val="00452974"/>
    <w:rsid w:val="005038D5"/>
    <w:rsid w:val="00504B2A"/>
    <w:rsid w:val="0054442F"/>
    <w:rsid w:val="005A1253"/>
    <w:rsid w:val="008A46BF"/>
    <w:rsid w:val="00965875"/>
    <w:rsid w:val="00A14EEE"/>
    <w:rsid w:val="00A42302"/>
    <w:rsid w:val="00BA3267"/>
    <w:rsid w:val="00BC45D3"/>
    <w:rsid w:val="00C213B3"/>
    <w:rsid w:val="00C94135"/>
    <w:rsid w:val="00D344F8"/>
    <w:rsid w:val="00D40C31"/>
    <w:rsid w:val="00D82A98"/>
    <w:rsid w:val="00DB35BA"/>
    <w:rsid w:val="00E46665"/>
    <w:rsid w:val="00E71FEA"/>
    <w:rsid w:val="00EE0836"/>
    <w:rsid w:val="00F76D43"/>
    <w:rsid w:val="00FD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5202"/>
  <w15:docId w15:val="{02FD27F5-983C-4440-9867-7A7624C7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4D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B6F4D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6F4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vps2">
    <w:name w:val="rvps2"/>
    <w:basedOn w:val="a"/>
    <w:rsid w:val="002B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6F4D"/>
    <w:rPr>
      <w:color w:val="0000FF"/>
      <w:u w:val="single"/>
    </w:rPr>
  </w:style>
  <w:style w:type="table" w:styleId="a4">
    <w:name w:val="Table Grid"/>
    <w:basedOn w:val="a1"/>
    <w:uiPriority w:val="39"/>
    <w:rsid w:val="002B6F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2B6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2B6F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B6F4D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B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F4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702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A9EB-C335-4BD3-9F39-8BAD7065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Marina_Rada</cp:lastModifiedBy>
  <cp:revision>2</cp:revision>
  <cp:lastPrinted>2022-07-05T06:46:00Z</cp:lastPrinted>
  <dcterms:created xsi:type="dcterms:W3CDTF">2022-07-05T06:46:00Z</dcterms:created>
  <dcterms:modified xsi:type="dcterms:W3CDTF">2022-07-05T06:46:00Z</dcterms:modified>
</cp:coreProperties>
</file>