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1F461C">
      <w:bookmarkStart w:id="0" w:name="_GoBack"/>
      <w:bookmarkEnd w:id="0"/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BF42E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Позач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b/>
          <w:color w:val="000000"/>
          <w:sz w:val="28"/>
          <w:szCs w:val="28"/>
          <w:lang w:val="uk-UA" w:eastAsia="ru-RU"/>
        </w:rPr>
        <w:t>76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3011C8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BF42EC">
        <w:rPr>
          <w:rFonts w:eastAsia="Arial Unicode MS"/>
          <w:b/>
          <w:sz w:val="28"/>
          <w:szCs w:val="28"/>
          <w:lang w:val="ru-RU"/>
        </w:rPr>
        <w:t>76/</w:t>
      </w:r>
      <w:r w:rsidR="006B7B99">
        <w:rPr>
          <w:rFonts w:eastAsia="Arial Unicode MS"/>
          <w:b/>
          <w:sz w:val="28"/>
          <w:szCs w:val="28"/>
          <w:lang w:val="ru-RU"/>
        </w:rPr>
        <w:t>4180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BF42EC">
        <w:rPr>
          <w:rFonts w:eastAsia="Arial Unicode MS"/>
          <w:b/>
          <w:sz w:val="28"/>
          <w:szCs w:val="28"/>
          <w:lang w:val="uk-UA"/>
        </w:rPr>
        <w:t>04.11.</w:t>
      </w:r>
      <w:r w:rsidR="003011C8">
        <w:rPr>
          <w:rFonts w:eastAsia="Arial Unicode MS"/>
          <w:b/>
          <w:sz w:val="28"/>
          <w:szCs w:val="28"/>
          <w:lang w:val="uk-UA"/>
        </w:rPr>
        <w:t>2025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3011C8">
        <w:rPr>
          <w:rFonts w:eastAsia="Arial Unicode MS"/>
          <w:b/>
          <w:sz w:val="28"/>
          <w:szCs w:val="28"/>
          <w:lang w:val="uk-UA"/>
        </w:rPr>
        <w:t xml:space="preserve">     </w:t>
      </w:r>
      <w:r w:rsidR="00BF42EC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Pr="00100547" w:rsidRDefault="002D280F" w:rsidP="00100547">
      <w:pPr>
        <w:pStyle w:val="a3"/>
        <w:ind w:hanging="142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BF7BF4" w:rsidRDefault="00BF7BF4" w:rsidP="001F0779">
      <w:pPr>
        <w:pStyle w:val="a3"/>
        <w:rPr>
          <w:b/>
          <w:lang w:val="uk-UA"/>
        </w:rPr>
      </w:pPr>
    </w:p>
    <w:p w:rsidR="00BF7BF4" w:rsidRDefault="00BF7BF4" w:rsidP="001F0779">
      <w:pPr>
        <w:pStyle w:val="a3"/>
        <w:rPr>
          <w:b/>
          <w:lang w:val="uk-UA"/>
        </w:rPr>
      </w:pPr>
    </w:p>
    <w:p w:rsidR="00BF7BF4" w:rsidRDefault="00BF7BF4" w:rsidP="001F0779">
      <w:pPr>
        <w:pStyle w:val="a3"/>
        <w:rPr>
          <w:b/>
          <w:lang w:val="uk-UA"/>
        </w:rPr>
      </w:pPr>
    </w:p>
    <w:p w:rsidR="00BF7BF4" w:rsidRDefault="00BF7BF4" w:rsidP="001F0779">
      <w:pPr>
        <w:pStyle w:val="a3"/>
        <w:rPr>
          <w:b/>
          <w:lang w:val="uk-UA"/>
        </w:rPr>
      </w:pPr>
    </w:p>
    <w:p w:rsidR="00BF7BF4" w:rsidRDefault="00BF7BF4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BF7BF4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В.о. н</w:t>
      </w:r>
      <w:r w:rsidR="000755BA">
        <w:rPr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snapToGrid w:val="0"/>
          <w:position w:val="-1"/>
          <w:sz w:val="28"/>
          <w:szCs w:val="28"/>
          <w:lang w:val="uk-UA" w:eastAsia="ru-RU"/>
        </w:rPr>
        <w:t>а</w:t>
      </w:r>
      <w:r w:rsidR="000755BA">
        <w:rPr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 w:rsidR="00BF7BF4">
        <w:rPr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3011C8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В.о. н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snapToGrid w:val="0"/>
          <w:position w:val="-1"/>
          <w:sz w:val="28"/>
          <w:szCs w:val="28"/>
          <w:lang w:val="uk-UA" w:eastAsia="ru-RU"/>
        </w:rPr>
        <w:t>а</w:t>
      </w:r>
      <w:r w:rsidR="00BF42EC">
        <w:rPr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>
        <w:rPr>
          <w:snapToGrid w:val="0"/>
          <w:position w:val="-1"/>
          <w:sz w:val="28"/>
          <w:szCs w:val="28"/>
          <w:lang w:val="uk-UA" w:eastAsia="ru-RU"/>
        </w:rPr>
        <w:t xml:space="preserve">                         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Тетяна </w:t>
      </w:r>
      <w:r>
        <w:rPr>
          <w:snapToGrid w:val="0"/>
          <w:position w:val="-1"/>
          <w:sz w:val="28"/>
          <w:szCs w:val="28"/>
          <w:lang w:val="uk-UA" w:eastAsia="ru-RU"/>
        </w:rPr>
        <w:t>КОЛУНАЄВА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lastRenderedPageBreak/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</w:t>
      </w:r>
      <w:r w:rsidR="00BF42EC">
        <w:rPr>
          <w:lang w:val="uk-UA"/>
        </w:rPr>
        <w:t>позачергової 76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3011C8" w:rsidRDefault="005215A2" w:rsidP="00CC7527">
      <w:pPr>
        <w:pStyle w:val="a3"/>
        <w:ind w:left="4253" w:right="427"/>
        <w:rPr>
          <w:lang w:val="ru-RU"/>
        </w:rPr>
      </w:pPr>
      <w:r w:rsidRPr="00981FAC">
        <w:rPr>
          <w:lang w:val="uk-UA"/>
        </w:rPr>
        <w:t xml:space="preserve">від </w:t>
      </w:r>
      <w:r w:rsidR="00BF42EC">
        <w:rPr>
          <w:lang w:val="uk-UA"/>
        </w:rPr>
        <w:t>04.11</w:t>
      </w:r>
      <w:r w:rsidR="003011C8">
        <w:rPr>
          <w:lang w:val="uk-UA"/>
        </w:rPr>
        <w:t>.2025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BF42EC">
        <w:rPr>
          <w:lang w:val="uk-UA"/>
        </w:rPr>
        <w:t>76</w:t>
      </w:r>
      <w:r w:rsidR="00802063">
        <w:rPr>
          <w:lang w:val="uk-UA"/>
        </w:rPr>
        <w:t>/4180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3011C8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- 2025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BF7BF4" w:rsidTr="00BF7BF4">
        <w:trPr>
          <w:trHeight w:val="640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BF7BF4">
        <w:trPr>
          <w:trHeight w:val="1400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BF7BF4" w:rsidTr="00BF7BF4">
        <w:trPr>
          <w:trHeight w:val="1000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BF7BF4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BF7BF4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BF7BF4" w:rsidTr="00BF7BF4">
        <w:trPr>
          <w:trHeight w:val="373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BF7BF4" w:rsidTr="00BF7BF4">
        <w:trPr>
          <w:trHeight w:val="621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BF7BF4" w:rsidTr="00BF7BF4">
        <w:trPr>
          <w:trHeight w:val="980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BF7BF4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BF7BF4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BF7BF4" w:rsidTr="00BF7BF4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BF7BF4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BF7BF4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BF7BF4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BF7BF4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BF7BF4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BF7BF4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BF7BF4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BF7BF4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4D74E3" w:rsidTr="00BF7BF4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0755BA" w:rsidRPr="004D74E3" w:rsidRDefault="000755BA" w:rsidP="00BF7BF4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755BA" w:rsidRDefault="000755BA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2025 році</w:t>
            </w:r>
          </w:p>
        </w:tc>
        <w:tc>
          <w:tcPr>
            <w:tcW w:w="4841" w:type="dxa"/>
            <w:shd w:val="clear" w:color="auto" w:fill="auto"/>
          </w:tcPr>
          <w:p w:rsidR="000755BA" w:rsidRDefault="003011C8" w:rsidP="00BF7BF4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2 130,0</w:t>
            </w:r>
          </w:p>
        </w:tc>
      </w:tr>
      <w:tr w:rsidR="00753F4D" w:rsidRPr="004D74E3" w:rsidTr="00BF7BF4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BF7BF4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BF7BF4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BF7BF4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BF7BF4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BF7BF4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0755BA">
              <w:rPr>
                <w:sz w:val="28"/>
                <w:szCs w:val="28"/>
                <w:lang w:val="uk-UA"/>
              </w:rPr>
              <w:t>, 2023-2025</w:t>
            </w:r>
            <w:r w:rsidR="00753F4D">
              <w:rPr>
                <w:sz w:val="28"/>
                <w:szCs w:val="28"/>
                <w:lang w:val="uk-UA"/>
              </w:rPr>
              <w:t xml:space="preserve">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3011C8" w:rsidP="00BF7BF4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3 520,0</w:t>
            </w:r>
          </w:p>
        </w:tc>
      </w:tr>
      <w:tr w:rsidR="00404273" w:rsidRPr="004D74E3" w:rsidTr="00BF7BF4">
        <w:trPr>
          <w:trHeight w:val="400"/>
        </w:trPr>
        <w:tc>
          <w:tcPr>
            <w:tcW w:w="581" w:type="dxa"/>
          </w:tcPr>
          <w:p w:rsidR="00404273" w:rsidRPr="004D74E3" w:rsidRDefault="00404273" w:rsidP="00BF7BF4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BF7BF4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BF7BF4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Pr="00521B07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</w:t>
      </w:r>
      <w:r w:rsidRPr="00191D97">
        <w:rPr>
          <w:lang w:val="uk-UA"/>
        </w:rPr>
        <w:lastRenderedPageBreak/>
        <w:t>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B8627D" w:rsidRPr="00B8627D" w:rsidRDefault="003E2FB4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В.о. н</w:t>
      </w:r>
      <w:r w:rsidR="00B8627D" w:rsidRPr="00B8627D">
        <w:rPr>
          <w:rFonts w:eastAsia="Calibri"/>
          <w:b/>
          <w:sz w:val="28"/>
          <w:szCs w:val="28"/>
          <w:lang w:val="uk-UA"/>
        </w:rPr>
        <w:t>ачальник</w:t>
      </w:r>
      <w:r>
        <w:rPr>
          <w:rFonts w:eastAsia="Calibri"/>
          <w:b/>
          <w:sz w:val="28"/>
          <w:szCs w:val="28"/>
          <w:lang w:val="uk-UA"/>
        </w:rPr>
        <w:t>а</w:t>
      </w:r>
      <w:r w:rsidR="00B8627D" w:rsidRPr="00B8627D">
        <w:rPr>
          <w:rFonts w:eastAsia="Calibri"/>
          <w:b/>
          <w:sz w:val="28"/>
          <w:szCs w:val="28"/>
          <w:lang w:val="uk-UA"/>
        </w:rPr>
        <w:t xml:space="preserve"> управління РІ та ЖКГ        </w:t>
      </w:r>
      <w:r>
        <w:rPr>
          <w:rFonts w:eastAsia="Calibri"/>
          <w:b/>
          <w:sz w:val="28"/>
          <w:szCs w:val="28"/>
          <w:lang w:val="uk-UA"/>
        </w:rPr>
        <w:t xml:space="preserve">                   Ольга МИХЕЄНКО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884407" w:rsidRDefault="00884407" w:rsidP="00F62D26">
      <w:pPr>
        <w:pStyle w:val="a3"/>
        <w:jc w:val="right"/>
        <w:rPr>
          <w:i/>
          <w:lang w:val="ru-RU"/>
        </w:rPr>
      </w:pPr>
      <w:proofErr w:type="spellStart"/>
      <w:r w:rsidRPr="004D74E3">
        <w:rPr>
          <w:i/>
          <w:lang w:val="ru-RU"/>
        </w:rPr>
        <w:lastRenderedPageBreak/>
        <w:t>Додаток</w:t>
      </w:r>
      <w:proofErr w:type="spellEnd"/>
      <w:r w:rsidR="00B8627D">
        <w:rPr>
          <w:i/>
          <w:lang w:val="ru-RU"/>
        </w:rPr>
        <w:t xml:space="preserve"> до </w:t>
      </w:r>
      <w:proofErr w:type="spellStart"/>
      <w:r w:rsidR="00B8627D">
        <w:rPr>
          <w:i/>
          <w:lang w:val="ru-RU"/>
        </w:rPr>
        <w:t>Програми</w:t>
      </w:r>
      <w:proofErr w:type="spellEnd"/>
      <w:r w:rsidRPr="004D74E3">
        <w:rPr>
          <w:i/>
          <w:lang w:val="ru-RU"/>
        </w:rPr>
        <w:t xml:space="preserve"> </w:t>
      </w:r>
    </w:p>
    <w:p w:rsidR="00F62D26" w:rsidRPr="00F62D26" w:rsidRDefault="00F62D26" w:rsidP="00F62D26">
      <w:pPr>
        <w:pStyle w:val="a3"/>
        <w:jc w:val="right"/>
        <w:rPr>
          <w:i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3F074E" w:rsidRPr="004D74E3" w:rsidTr="00BF7BF4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 xml:space="preserve">, 15,5 дизель (95 </w:t>
            </w:r>
            <w:proofErr w:type="spellStart"/>
            <w:r w:rsidRPr="00FB30CB">
              <w:rPr>
                <w:lang w:val="uk-UA"/>
              </w:rPr>
              <w:t>к.с</w:t>
            </w:r>
            <w:proofErr w:type="spellEnd"/>
            <w:r w:rsidRPr="00FB30CB">
              <w:rPr>
                <w:lang w:val="uk-UA"/>
              </w:rPr>
              <w:t>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поточного ремонту службового автомобіля марки «Рено Докер», білого кольору </w:t>
            </w:r>
            <w:proofErr w:type="spellStart"/>
            <w:r>
              <w:rPr>
                <w:lang w:val="uk-UA"/>
              </w:rPr>
              <w:t>д.н.з</w:t>
            </w:r>
            <w:proofErr w:type="spellEnd"/>
            <w:r>
              <w:rPr>
                <w:lang w:val="uk-UA"/>
              </w:rPr>
              <w:t>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BF7BF4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Pr="003104E0" w:rsidRDefault="00AF1377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3104E0">
              <w:rPr>
                <w:b/>
                <w:sz w:val="28"/>
                <w:lang w:val="uk-UA"/>
              </w:rPr>
              <w:t>35,0</w:t>
            </w:r>
          </w:p>
        </w:tc>
      </w:tr>
      <w:tr w:rsidR="000755BA" w:rsidRPr="006F11DF" w:rsidTr="00BF7BF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0755BA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755BA">
              <w:rPr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2D26">
              <w:rPr>
                <w:sz w:val="28"/>
                <w:lang w:val="uk-UA"/>
              </w:rPr>
              <w:t>80,0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2 130</w:t>
            </w:r>
            <w:r w:rsidR="00F62D26" w:rsidRPr="00F62D26">
              <w:rPr>
                <w:b/>
                <w:sz w:val="28"/>
                <w:lang w:val="uk-UA"/>
              </w:rPr>
              <w:t>,0</w:t>
            </w:r>
          </w:p>
        </w:tc>
      </w:tr>
      <w:tr w:rsidR="000755BA" w:rsidRPr="006F11DF" w:rsidTr="00754CE4">
        <w:trPr>
          <w:trHeight w:val="182"/>
        </w:trPr>
        <w:tc>
          <w:tcPr>
            <w:tcW w:w="7126" w:type="dxa"/>
          </w:tcPr>
          <w:p w:rsidR="000755BA" w:rsidRPr="004D74E3" w:rsidRDefault="000755BA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0755BA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3 560,0</w:t>
            </w:r>
          </w:p>
        </w:tc>
      </w:tr>
    </w:tbl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F62D26">
        <w:rPr>
          <w:rFonts w:eastAsia="Calibri"/>
          <w:sz w:val="28"/>
          <w:szCs w:val="28"/>
          <w:lang w:val="uk-UA" w:eastAsia="uk-UA"/>
        </w:rPr>
        <w:t>09</w:t>
      </w:r>
      <w:r w:rsidR="00AF1377">
        <w:rPr>
          <w:rFonts w:eastAsia="Calibri"/>
          <w:sz w:val="28"/>
          <w:szCs w:val="28"/>
          <w:lang w:val="uk-UA" w:eastAsia="uk-UA"/>
        </w:rPr>
        <w:t>.12.2024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>№ 02-09/8579/0-24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3104E0">
        <w:rPr>
          <w:rFonts w:eastAsia="Calibri"/>
          <w:sz w:val="28"/>
          <w:szCs w:val="28"/>
          <w:lang w:val="uk-UA" w:eastAsia="uk-UA"/>
        </w:rPr>
        <w:t xml:space="preserve">2025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3104E0">
        <w:rPr>
          <w:rFonts w:eastAsia="Calibri"/>
          <w:sz w:val="28"/>
          <w:szCs w:val="28"/>
          <w:lang w:val="uk-UA" w:eastAsia="uk-UA"/>
        </w:rPr>
        <w:t xml:space="preserve">, у розмірі </w:t>
      </w:r>
      <w:r w:rsidR="003011C8">
        <w:rPr>
          <w:rFonts w:eastAsia="Calibri"/>
          <w:sz w:val="28"/>
          <w:szCs w:val="28"/>
          <w:lang w:val="uk-UA" w:eastAsia="uk-UA"/>
        </w:rPr>
        <w:t>600,00 грн.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6164"/>
    <w:rsid w:val="00047E4C"/>
    <w:rsid w:val="00061524"/>
    <w:rsid w:val="000755BA"/>
    <w:rsid w:val="000C4589"/>
    <w:rsid w:val="000E3C5A"/>
    <w:rsid w:val="00100547"/>
    <w:rsid w:val="001241AD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011C8"/>
    <w:rsid w:val="003104E0"/>
    <w:rsid w:val="00314956"/>
    <w:rsid w:val="00321E0F"/>
    <w:rsid w:val="00331315"/>
    <w:rsid w:val="00334894"/>
    <w:rsid w:val="003A1BCF"/>
    <w:rsid w:val="003A3FF3"/>
    <w:rsid w:val="003B06B4"/>
    <w:rsid w:val="003E2FB4"/>
    <w:rsid w:val="003F074E"/>
    <w:rsid w:val="003F6A10"/>
    <w:rsid w:val="00404273"/>
    <w:rsid w:val="0044228C"/>
    <w:rsid w:val="00467BB1"/>
    <w:rsid w:val="004D74E3"/>
    <w:rsid w:val="0050406D"/>
    <w:rsid w:val="005215A2"/>
    <w:rsid w:val="00521B07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B7B99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02063"/>
    <w:rsid w:val="00842F14"/>
    <w:rsid w:val="00853401"/>
    <w:rsid w:val="00884407"/>
    <w:rsid w:val="00906A0B"/>
    <w:rsid w:val="0093232F"/>
    <w:rsid w:val="00981FAC"/>
    <w:rsid w:val="009A2B97"/>
    <w:rsid w:val="009D74E7"/>
    <w:rsid w:val="00A6781E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BF42EC"/>
    <w:rsid w:val="00BF7BF4"/>
    <w:rsid w:val="00C226B7"/>
    <w:rsid w:val="00C47AD2"/>
    <w:rsid w:val="00C52440"/>
    <w:rsid w:val="00C5545A"/>
    <w:rsid w:val="00C83D23"/>
    <w:rsid w:val="00CA1DAB"/>
    <w:rsid w:val="00CC7527"/>
    <w:rsid w:val="00D27CB9"/>
    <w:rsid w:val="00D77F2A"/>
    <w:rsid w:val="00DA5FE6"/>
    <w:rsid w:val="00DB66A3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8AF5-A9F2-45A6-B0D4-0006D1A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9865</Words>
  <Characters>5624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2</cp:revision>
  <cp:lastPrinted>2025-11-06T07:28:00Z</cp:lastPrinted>
  <dcterms:created xsi:type="dcterms:W3CDTF">2025-11-07T11:11:00Z</dcterms:created>
  <dcterms:modified xsi:type="dcterms:W3CDTF">2025-11-07T11:11:00Z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