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Pr="00F62D26" w:rsidRDefault="001F461C"/>
    <w:p w:rsidR="005522CF" w:rsidRDefault="00D36CE4">
      <w:pPr>
        <w:rPr>
          <w:lang w:val="ru-RU"/>
        </w:rPr>
      </w:pPr>
      <w:r w:rsidRPr="00D36CE4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A038" wp14:editId="03BF5AE4">
                <wp:simplePos x="0" y="0"/>
                <wp:positionH relativeFrom="column">
                  <wp:posOffset>4701540</wp:posOffset>
                </wp:positionH>
                <wp:positionV relativeFrom="paragraph">
                  <wp:posOffset>157480</wp:posOffset>
                </wp:positionV>
                <wp:extent cx="1181100" cy="771525"/>
                <wp:effectExtent l="0" t="0" r="19050" b="2857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6CE4" w:rsidRDefault="00D36CE4" w:rsidP="00D36CE4">
                            <w:pPr>
                              <w:spacing w:after="120"/>
                              <w:jc w:val="center"/>
                            </w:pPr>
                            <w:r>
                              <w:t>ПРОЄКТ</w:t>
                            </w:r>
                          </w:p>
                          <w:p w:rsidR="00D36CE4" w:rsidRPr="00D36CE4" w:rsidRDefault="00D36CE4" w:rsidP="00D36CE4">
                            <w:pPr>
                              <w:spacing w:after="12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№ 01-03/31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  <w:p w:rsidR="00D36CE4" w:rsidRDefault="00D36CE4" w:rsidP="00D36CE4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  03.11.2025 р.</w:t>
                            </w:r>
                          </w:p>
                          <w:p w:rsidR="00D36CE4" w:rsidRDefault="00D36CE4" w:rsidP="00D36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0A038" id="Прямоугольник 3" o:spid="_x0000_s1026" style="position:absolute;margin-left:370.2pt;margin-top:12.4pt;width:9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" fillcolor="window" strokecolor="windowText" strokeweight="1pt">
                <v:path arrowok="t"/>
                <v:textbox>
                  <w:txbxContent>
                    <w:p w:rsidR="00D36CE4" w:rsidRDefault="00D36CE4" w:rsidP="00D36CE4">
                      <w:pPr>
                        <w:spacing w:after="120"/>
                        <w:jc w:val="center"/>
                      </w:pPr>
                      <w:r>
                        <w:t>ПРОЄКТ</w:t>
                      </w:r>
                    </w:p>
                    <w:p w:rsidR="00D36CE4" w:rsidRPr="00D36CE4" w:rsidRDefault="00D36CE4" w:rsidP="00D36CE4">
                      <w:pPr>
                        <w:spacing w:after="120"/>
                        <w:jc w:val="center"/>
                        <w:rPr>
                          <w:lang w:val="uk-UA"/>
                        </w:rPr>
                      </w:pPr>
                      <w:r>
                        <w:t>№ 01-03/31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  <w:p w:rsidR="00D36CE4" w:rsidRDefault="00D36CE4" w:rsidP="00D36CE4">
                      <w:pPr>
                        <w:spacing w:line="360" w:lineRule="auto"/>
                        <w:jc w:val="center"/>
                      </w:pPr>
                      <w:r>
                        <w:t xml:space="preserve">  03.11.2025 р.</w:t>
                      </w:r>
                    </w:p>
                    <w:p w:rsidR="00D36CE4" w:rsidRDefault="00D36CE4" w:rsidP="00D36C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62AEB79E" wp14:editId="63C706A8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E4">
        <w:rPr>
          <w:lang w:val="uk-UA"/>
        </w:rPr>
        <w:t xml:space="preserve">                                                 </w:t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  <w:bookmarkStart w:id="0" w:name="_GoBack"/>
      <w:bookmarkEnd w:id="0"/>
    </w:p>
    <w:p w:rsidR="001F461C" w:rsidRDefault="00BF42E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Позач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b/>
          <w:color w:val="000000"/>
          <w:sz w:val="28"/>
          <w:szCs w:val="28"/>
          <w:lang w:val="uk-UA" w:eastAsia="ru-RU"/>
        </w:rPr>
        <w:t>76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Pr="003011C8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BF42EC">
        <w:rPr>
          <w:rFonts w:eastAsia="Arial Unicode MS"/>
          <w:b/>
          <w:sz w:val="28"/>
          <w:szCs w:val="28"/>
          <w:lang w:val="ru-RU"/>
        </w:rPr>
        <w:t>76/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BF42EC">
        <w:rPr>
          <w:rFonts w:eastAsia="Arial Unicode MS"/>
          <w:b/>
          <w:sz w:val="28"/>
          <w:szCs w:val="28"/>
          <w:lang w:val="uk-UA"/>
        </w:rPr>
        <w:t>04.11.</w:t>
      </w:r>
      <w:r w:rsidR="003011C8">
        <w:rPr>
          <w:rFonts w:eastAsia="Arial Unicode MS"/>
          <w:b/>
          <w:sz w:val="28"/>
          <w:szCs w:val="28"/>
          <w:lang w:val="uk-UA"/>
        </w:rPr>
        <w:t>2025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3011C8">
        <w:rPr>
          <w:rFonts w:eastAsia="Arial Unicode MS"/>
          <w:b/>
          <w:sz w:val="28"/>
          <w:szCs w:val="28"/>
          <w:lang w:val="uk-UA"/>
        </w:rPr>
        <w:t xml:space="preserve">     </w:t>
      </w:r>
      <w:r w:rsidR="00BF42EC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3011C8" w:rsidRDefault="003011C8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3011C8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В.о. н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snapToGrid w:val="0"/>
          <w:position w:val="-1"/>
          <w:sz w:val="28"/>
          <w:szCs w:val="28"/>
          <w:lang w:val="uk-UA" w:eastAsia="ru-RU"/>
        </w:rPr>
        <w:t>а</w:t>
      </w:r>
      <w:r w:rsidR="00BF42EC">
        <w:rPr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>
        <w:rPr>
          <w:snapToGrid w:val="0"/>
          <w:position w:val="-1"/>
          <w:sz w:val="28"/>
          <w:szCs w:val="28"/>
          <w:lang w:val="uk-UA" w:eastAsia="ru-RU"/>
        </w:rPr>
        <w:t xml:space="preserve">                         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Тетяна </w:t>
      </w:r>
      <w:r>
        <w:rPr>
          <w:snapToGrid w:val="0"/>
          <w:position w:val="-1"/>
          <w:sz w:val="28"/>
          <w:szCs w:val="28"/>
          <w:lang w:val="uk-UA" w:eastAsia="ru-RU"/>
        </w:rPr>
        <w:t>КОЛУНАЄВА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lastRenderedPageBreak/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</w:t>
      </w:r>
      <w:r w:rsidR="00BF42EC">
        <w:rPr>
          <w:lang w:val="uk-UA"/>
        </w:rPr>
        <w:t>позачергової 76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3011C8" w:rsidRDefault="005215A2" w:rsidP="00CC7527">
      <w:pPr>
        <w:pStyle w:val="a3"/>
        <w:ind w:left="4253" w:right="427"/>
        <w:rPr>
          <w:lang w:val="ru-RU"/>
        </w:rPr>
      </w:pPr>
      <w:r w:rsidRPr="00981FAC">
        <w:rPr>
          <w:lang w:val="uk-UA"/>
        </w:rPr>
        <w:t xml:space="preserve">від </w:t>
      </w:r>
      <w:r w:rsidR="00BF42EC">
        <w:rPr>
          <w:lang w:val="uk-UA"/>
        </w:rPr>
        <w:t>04.11</w:t>
      </w:r>
      <w:r w:rsidR="003011C8">
        <w:rPr>
          <w:lang w:val="uk-UA"/>
        </w:rPr>
        <w:t>.2025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BF42EC">
        <w:rPr>
          <w:lang w:val="uk-UA"/>
        </w:rPr>
        <w:t>76</w:t>
      </w:r>
      <w:r w:rsidR="003011C8">
        <w:rPr>
          <w:lang w:val="uk-UA"/>
        </w:rPr>
        <w:t>/_____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3011C8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- 2025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D36CE4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D36CE4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D36CE4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proofErr w:type="spellStart"/>
            <w:r w:rsidRPr="004D74E3">
              <w:rPr>
                <w:sz w:val="28"/>
                <w:lang w:val="uk-UA"/>
              </w:rPr>
              <w:t>Співрозробники</w:t>
            </w:r>
            <w:proofErr w:type="spellEnd"/>
            <w:r w:rsidRPr="004D74E3"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D36CE4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D36CE4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D36CE4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0755BA" w:rsidRPr="004D74E3" w:rsidRDefault="000755BA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755BA" w:rsidRDefault="000755BA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2025 році</w:t>
            </w:r>
          </w:p>
        </w:tc>
        <w:tc>
          <w:tcPr>
            <w:tcW w:w="4841" w:type="dxa"/>
            <w:shd w:val="clear" w:color="auto" w:fill="auto"/>
          </w:tcPr>
          <w:p w:rsidR="000755BA" w:rsidRDefault="003011C8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2 130,0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0755BA">
              <w:rPr>
                <w:sz w:val="28"/>
                <w:szCs w:val="28"/>
                <w:lang w:val="uk-UA"/>
              </w:rPr>
              <w:t>, 2023-2025</w:t>
            </w:r>
            <w:r w:rsidR="00753F4D">
              <w:rPr>
                <w:sz w:val="28"/>
                <w:szCs w:val="28"/>
                <w:lang w:val="uk-UA"/>
              </w:rPr>
              <w:t xml:space="preserve">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3011C8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3 520,0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</w:t>
      </w:r>
      <w:r w:rsidRPr="00191D97">
        <w:rPr>
          <w:lang w:val="uk-UA"/>
        </w:rPr>
        <w:lastRenderedPageBreak/>
        <w:t>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 xml:space="preserve">задоволення </w:t>
      </w:r>
      <w:proofErr w:type="spellStart"/>
      <w:r w:rsidR="005215A2" w:rsidRPr="00191D97">
        <w:rPr>
          <w:sz w:val="28"/>
          <w:szCs w:val="28"/>
          <w:lang w:val="uk-UA"/>
        </w:rPr>
        <w:t>безпекових</w:t>
      </w:r>
      <w:proofErr w:type="spellEnd"/>
      <w:r w:rsidR="005215A2" w:rsidRPr="00191D97">
        <w:rPr>
          <w:sz w:val="28"/>
          <w:szCs w:val="28"/>
          <w:lang w:val="uk-UA"/>
        </w:rPr>
        <w:t xml:space="preserve">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884407" w:rsidRDefault="00884407" w:rsidP="00F62D26">
      <w:pPr>
        <w:pStyle w:val="a3"/>
        <w:jc w:val="right"/>
        <w:rPr>
          <w:i/>
          <w:lang w:val="ru-RU"/>
        </w:rPr>
      </w:pPr>
      <w:proofErr w:type="spellStart"/>
      <w:r w:rsidRPr="004D74E3">
        <w:rPr>
          <w:i/>
          <w:lang w:val="ru-RU"/>
        </w:rPr>
        <w:lastRenderedPageBreak/>
        <w:t>Додаток</w:t>
      </w:r>
      <w:proofErr w:type="spellEnd"/>
      <w:r w:rsidR="00B8627D">
        <w:rPr>
          <w:i/>
          <w:lang w:val="ru-RU"/>
        </w:rPr>
        <w:t xml:space="preserve"> до </w:t>
      </w:r>
      <w:proofErr w:type="spellStart"/>
      <w:r w:rsidR="00B8627D">
        <w:rPr>
          <w:i/>
          <w:lang w:val="ru-RU"/>
        </w:rPr>
        <w:t>Програми</w:t>
      </w:r>
      <w:proofErr w:type="spellEnd"/>
      <w:r w:rsidRPr="004D74E3">
        <w:rPr>
          <w:i/>
          <w:lang w:val="ru-RU"/>
        </w:rPr>
        <w:t xml:space="preserve"> </w:t>
      </w:r>
    </w:p>
    <w:p w:rsidR="00F62D26" w:rsidRPr="00F62D26" w:rsidRDefault="00F62D26" w:rsidP="00F62D26">
      <w:pPr>
        <w:pStyle w:val="a3"/>
        <w:jc w:val="right"/>
        <w:rPr>
          <w:i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 xml:space="preserve">, </w:t>
            </w:r>
            <w:proofErr w:type="spellStart"/>
            <w:r w:rsidR="00853401">
              <w:rPr>
                <w:sz w:val="28"/>
                <w:lang w:val="uk-UA"/>
              </w:rPr>
              <w:t>тис.грн</w:t>
            </w:r>
            <w:proofErr w:type="spellEnd"/>
            <w:r w:rsidR="00853401">
              <w:rPr>
                <w:sz w:val="28"/>
                <w:lang w:val="uk-UA"/>
              </w:rPr>
              <w:t>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 xml:space="preserve">, 15,5 дизель (95 </w:t>
            </w:r>
            <w:proofErr w:type="spellStart"/>
            <w:r w:rsidRPr="00FB30CB">
              <w:rPr>
                <w:lang w:val="uk-UA"/>
              </w:rPr>
              <w:t>к.с</w:t>
            </w:r>
            <w:proofErr w:type="spellEnd"/>
            <w:r w:rsidRPr="00FB30CB">
              <w:rPr>
                <w:lang w:val="uk-UA"/>
              </w:rPr>
              <w:t>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поточного ремонту службового автомобіля марки «Рено Докер», білого кольору </w:t>
            </w:r>
            <w:proofErr w:type="spellStart"/>
            <w:r>
              <w:rPr>
                <w:lang w:val="uk-UA"/>
              </w:rPr>
              <w:t>д.н.з</w:t>
            </w:r>
            <w:proofErr w:type="spellEnd"/>
            <w:r>
              <w:rPr>
                <w:lang w:val="uk-UA"/>
              </w:rPr>
              <w:t>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>
              <w:rPr>
                <w:lang w:val="uk-UA"/>
              </w:rPr>
              <w:t>Б.Хмельницького</w:t>
            </w:r>
            <w:proofErr w:type="spellEnd"/>
            <w:r>
              <w:rPr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Pr="003104E0" w:rsidRDefault="00AF1377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3104E0">
              <w:rPr>
                <w:b/>
                <w:sz w:val="28"/>
                <w:lang w:val="uk-UA"/>
              </w:rPr>
              <w:t>35,0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0755BA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755BA">
              <w:rPr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 xml:space="preserve">Оплата комунальних послуг поліцейських станцій, що розташовані, за адресами: вул. </w:t>
            </w:r>
            <w:proofErr w:type="spellStart"/>
            <w:r w:rsidRPr="000755BA">
              <w:rPr>
                <w:sz w:val="28"/>
                <w:lang w:val="uk-UA"/>
              </w:rPr>
              <w:t>Б.Хмельницького</w:t>
            </w:r>
            <w:proofErr w:type="spellEnd"/>
            <w:r w:rsidRPr="000755BA">
              <w:rPr>
                <w:sz w:val="28"/>
                <w:lang w:val="uk-UA"/>
              </w:rPr>
              <w:t>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P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Придбання службового автомобіля  для поліцейського офіцера громади 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Pr="000755BA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1 200,0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технічних обслуговувань транспортних засобів поліцейських офіцерів громади </w:t>
            </w: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F62D26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100,0</w:t>
            </w:r>
          </w:p>
        </w:tc>
      </w:tr>
      <w:tr w:rsidR="00F62D26" w:rsidRPr="00F62D26" w:rsidTr="00754CE4">
        <w:trPr>
          <w:trHeight w:val="182"/>
        </w:trPr>
        <w:tc>
          <w:tcPr>
            <w:tcW w:w="7126" w:type="dxa"/>
          </w:tcPr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Придбання пально-мастильних матеріалів для </w:t>
            </w:r>
            <w:r w:rsidRPr="00F62D26">
              <w:rPr>
                <w:sz w:val="28"/>
                <w:lang w:val="uk-UA"/>
              </w:rPr>
              <w:t xml:space="preserve">транспортних засобів поліцейських офіцерів громади </w:t>
            </w:r>
          </w:p>
          <w:p w:rsidR="00F62D26" w:rsidRDefault="00F62D26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F62D26">
              <w:rPr>
                <w:sz w:val="28"/>
                <w:lang w:val="uk-UA"/>
              </w:rPr>
              <w:t>ВП № 1 Фастівського РУП ГУНП у Київській області</w:t>
            </w:r>
          </w:p>
        </w:tc>
        <w:tc>
          <w:tcPr>
            <w:tcW w:w="2551" w:type="dxa"/>
          </w:tcPr>
          <w:p w:rsidR="00F62D26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F62D26">
              <w:rPr>
                <w:sz w:val="28"/>
                <w:lang w:val="uk-UA"/>
              </w:rPr>
              <w:t>80,0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F62D26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2 130</w:t>
            </w:r>
            <w:r w:rsidR="00F62D26" w:rsidRPr="00F62D26">
              <w:rPr>
                <w:b/>
                <w:sz w:val="28"/>
                <w:lang w:val="uk-UA"/>
              </w:rPr>
              <w:t>,0</w:t>
            </w:r>
          </w:p>
        </w:tc>
      </w:tr>
      <w:tr w:rsidR="000755BA" w:rsidRPr="006F11DF" w:rsidTr="00754CE4">
        <w:trPr>
          <w:trHeight w:val="182"/>
        </w:trPr>
        <w:tc>
          <w:tcPr>
            <w:tcW w:w="7126" w:type="dxa"/>
          </w:tcPr>
          <w:p w:rsidR="000755BA" w:rsidRPr="004D74E3" w:rsidRDefault="000755BA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0755BA" w:rsidRDefault="003011C8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3 560,0</w:t>
            </w:r>
          </w:p>
        </w:tc>
      </w:tr>
    </w:tbl>
    <w:p w:rsidR="00AF1377" w:rsidRDefault="00AF1377" w:rsidP="00F62D26">
      <w:pPr>
        <w:widowControl/>
        <w:autoSpaceDE/>
        <w:autoSpaceDN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F62D26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F62D26">
        <w:rPr>
          <w:rFonts w:eastAsia="Calibri"/>
          <w:sz w:val="28"/>
          <w:szCs w:val="28"/>
          <w:lang w:val="uk-UA" w:eastAsia="uk-UA"/>
        </w:rPr>
        <w:t>09</w:t>
      </w:r>
      <w:r w:rsidR="00AF1377">
        <w:rPr>
          <w:rFonts w:eastAsia="Calibri"/>
          <w:sz w:val="28"/>
          <w:szCs w:val="28"/>
          <w:lang w:val="uk-UA" w:eastAsia="uk-UA"/>
        </w:rPr>
        <w:t>.12.2024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>№ 02-09/8579/0-24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</w:t>
      </w:r>
      <w:r w:rsidR="00F62D26">
        <w:rPr>
          <w:rFonts w:eastAsia="Calibri"/>
          <w:sz w:val="28"/>
          <w:szCs w:val="28"/>
          <w:lang w:val="uk-UA" w:eastAsia="uk-UA"/>
        </w:rPr>
        <w:t xml:space="preserve"> </w:t>
      </w:r>
      <w:r w:rsidR="003104E0">
        <w:rPr>
          <w:rFonts w:eastAsia="Calibri"/>
          <w:sz w:val="28"/>
          <w:szCs w:val="28"/>
          <w:lang w:val="uk-UA" w:eastAsia="uk-UA"/>
        </w:rPr>
        <w:t xml:space="preserve">2025 рік, </w:t>
      </w:r>
      <w:r w:rsidR="00F62D26">
        <w:rPr>
          <w:rFonts w:eastAsia="Calibri"/>
          <w:sz w:val="28"/>
          <w:szCs w:val="28"/>
          <w:lang w:val="uk-UA" w:eastAsia="uk-UA"/>
        </w:rPr>
        <w:t>наступні заходи:</w:t>
      </w:r>
    </w:p>
    <w:p w:rsidR="00F62D26" w:rsidRDefault="00F62D26" w:rsidP="003104E0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- п</w:t>
      </w:r>
      <w:r w:rsidRPr="00F62D26">
        <w:rPr>
          <w:rFonts w:eastAsia="Calibri"/>
          <w:sz w:val="28"/>
          <w:szCs w:val="28"/>
          <w:lang w:val="uk-UA" w:eastAsia="uk-UA"/>
        </w:rPr>
        <w:t>ридбання пально-мастильних матеріалів для транспортних засобів</w:t>
      </w:r>
      <w:r w:rsidR="003104E0">
        <w:rPr>
          <w:rFonts w:eastAsia="Calibri"/>
          <w:sz w:val="28"/>
          <w:szCs w:val="28"/>
          <w:lang w:val="uk-UA" w:eastAsia="uk-UA"/>
        </w:rPr>
        <w:t xml:space="preserve"> поліцейських офіцерів громади </w:t>
      </w:r>
      <w:r w:rsidRPr="00F62D26">
        <w:rPr>
          <w:rFonts w:eastAsia="Calibri"/>
          <w:sz w:val="28"/>
          <w:szCs w:val="28"/>
          <w:lang w:val="uk-UA" w:eastAsia="uk-UA"/>
        </w:rPr>
        <w:t>ВП № 1 Фастівського РУП ГУНП у Київській області</w:t>
      </w:r>
      <w:r w:rsidR="003104E0">
        <w:rPr>
          <w:rFonts w:eastAsia="Calibri"/>
          <w:sz w:val="28"/>
          <w:szCs w:val="28"/>
          <w:lang w:val="uk-UA" w:eastAsia="uk-UA"/>
        </w:rPr>
        <w:t xml:space="preserve">, у розмірі </w:t>
      </w:r>
      <w:r w:rsidR="003011C8">
        <w:rPr>
          <w:rFonts w:eastAsia="Calibri"/>
          <w:sz w:val="28"/>
          <w:szCs w:val="28"/>
          <w:lang w:val="uk-UA" w:eastAsia="uk-UA"/>
        </w:rPr>
        <w:t>600,00 грн.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6164"/>
    <w:rsid w:val="00047E4C"/>
    <w:rsid w:val="00061524"/>
    <w:rsid w:val="000755BA"/>
    <w:rsid w:val="000C4589"/>
    <w:rsid w:val="000E3C5A"/>
    <w:rsid w:val="001241AD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011C8"/>
    <w:rsid w:val="003104E0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54558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84407"/>
    <w:rsid w:val="00906A0B"/>
    <w:rsid w:val="0093232F"/>
    <w:rsid w:val="00981FAC"/>
    <w:rsid w:val="009A2B97"/>
    <w:rsid w:val="009D74E7"/>
    <w:rsid w:val="00A6781E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BF42EC"/>
    <w:rsid w:val="00C226B7"/>
    <w:rsid w:val="00C47AD2"/>
    <w:rsid w:val="00C52440"/>
    <w:rsid w:val="00C5545A"/>
    <w:rsid w:val="00C83D23"/>
    <w:rsid w:val="00CA1DAB"/>
    <w:rsid w:val="00CC7527"/>
    <w:rsid w:val="00D27CB9"/>
    <w:rsid w:val="00D36CE4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2D26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BBC9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E64B-09D7-488B-A6A6-2A89FD6A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9896</Words>
  <Characters>5641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3</cp:revision>
  <cp:lastPrinted>2025-11-03T12:04:00Z</cp:lastPrinted>
  <dcterms:created xsi:type="dcterms:W3CDTF">2025-11-03T13:20:00Z</dcterms:created>
  <dcterms:modified xsi:type="dcterms:W3CDTF">2025-11-03T13:22:00Z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