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149F" w:rsidRDefault="00445E8A" w:rsidP="005E38DB">
      <w:pPr>
        <w:pBdr>
          <w:top w:val="nil"/>
          <w:left w:val="nil"/>
          <w:bottom w:val="nil"/>
          <w:right w:val="nil"/>
          <w:between w:val="nil"/>
        </w:pBdr>
        <w:spacing w:line="240" w:lineRule="auto"/>
        <w:ind w:left="0" w:hanging="3"/>
        <w:jc w:val="right"/>
        <w:rPr>
          <w:rFonts w:ascii="Times New Roman" w:hAnsi="Times New Roman"/>
          <w:color w:val="000000"/>
          <w:sz w:val="26"/>
          <w:szCs w:val="26"/>
        </w:rPr>
      </w:pPr>
      <w:r>
        <w:rPr>
          <w:rFonts w:ascii="Times New Roman" w:hAnsi="Times New Roman"/>
          <w:color w:val="000000"/>
          <w:sz w:val="26"/>
          <w:szCs w:val="26"/>
        </w:rPr>
        <w:t>Затверджено</w:t>
      </w:r>
    </w:p>
    <w:p w:rsidR="007E149F" w:rsidRPr="005E38DB" w:rsidRDefault="00445E8A" w:rsidP="005E38DB">
      <w:pPr>
        <w:pBdr>
          <w:top w:val="nil"/>
          <w:left w:val="nil"/>
          <w:bottom w:val="nil"/>
          <w:right w:val="nil"/>
          <w:between w:val="nil"/>
        </w:pBdr>
        <w:spacing w:line="240" w:lineRule="auto"/>
        <w:ind w:left="0" w:hanging="3"/>
        <w:jc w:val="right"/>
        <w:rPr>
          <w:rFonts w:ascii="Times New Roman" w:hAnsi="Times New Roman"/>
          <w:color w:val="000000"/>
          <w:sz w:val="26"/>
          <w:szCs w:val="26"/>
          <w:lang w:val="uk-UA"/>
        </w:rPr>
      </w:pPr>
      <w:r>
        <w:rPr>
          <w:rFonts w:ascii="Times New Roman" w:hAnsi="Times New Roman"/>
          <w:color w:val="000000"/>
          <w:sz w:val="26"/>
          <w:szCs w:val="26"/>
        </w:rPr>
        <w:t xml:space="preserve">рішенням </w:t>
      </w:r>
      <w:r w:rsidR="005E38DB">
        <w:rPr>
          <w:rFonts w:ascii="Times New Roman" w:hAnsi="Times New Roman"/>
          <w:color w:val="000000"/>
          <w:sz w:val="26"/>
          <w:szCs w:val="26"/>
          <w:lang w:val="uk-UA"/>
        </w:rPr>
        <w:t>виконавчого комітету</w:t>
      </w:r>
    </w:p>
    <w:p w:rsidR="005E38DB" w:rsidRDefault="005E38DB" w:rsidP="005E38DB">
      <w:pPr>
        <w:pBdr>
          <w:top w:val="nil"/>
          <w:left w:val="nil"/>
          <w:bottom w:val="nil"/>
          <w:right w:val="nil"/>
          <w:between w:val="nil"/>
        </w:pBdr>
        <w:spacing w:line="240" w:lineRule="auto"/>
        <w:ind w:left="0" w:hanging="3"/>
        <w:jc w:val="right"/>
        <w:rPr>
          <w:rFonts w:ascii="Times New Roman" w:hAnsi="Times New Roman"/>
          <w:color w:val="000000"/>
          <w:sz w:val="26"/>
          <w:szCs w:val="26"/>
          <w:lang w:val="uk-UA"/>
        </w:rPr>
      </w:pPr>
      <w:r>
        <w:rPr>
          <w:rFonts w:ascii="Times New Roman" w:hAnsi="Times New Roman"/>
          <w:color w:val="000000"/>
          <w:sz w:val="26"/>
          <w:szCs w:val="26"/>
        </w:rPr>
        <w:t>Боярської міської ради</w:t>
      </w:r>
      <w:r>
        <w:rPr>
          <w:rFonts w:ascii="Times New Roman" w:hAnsi="Times New Roman"/>
          <w:color w:val="000000"/>
          <w:sz w:val="26"/>
          <w:szCs w:val="26"/>
          <w:lang w:val="uk-UA"/>
        </w:rPr>
        <w:t xml:space="preserve"> </w:t>
      </w:r>
    </w:p>
    <w:p w:rsidR="007E149F" w:rsidRDefault="005E38DB" w:rsidP="005E38DB">
      <w:pPr>
        <w:pBdr>
          <w:top w:val="nil"/>
          <w:left w:val="nil"/>
          <w:bottom w:val="nil"/>
          <w:right w:val="nil"/>
          <w:between w:val="nil"/>
        </w:pBdr>
        <w:spacing w:line="240" w:lineRule="auto"/>
        <w:ind w:left="0" w:hanging="3"/>
        <w:jc w:val="right"/>
        <w:rPr>
          <w:rFonts w:ascii="Times New Roman" w:hAnsi="Times New Roman"/>
          <w:color w:val="000000"/>
          <w:sz w:val="26"/>
          <w:szCs w:val="26"/>
        </w:rPr>
      </w:pPr>
      <w:r>
        <w:rPr>
          <w:rFonts w:ascii="Times New Roman" w:hAnsi="Times New Roman"/>
          <w:color w:val="000000"/>
          <w:sz w:val="26"/>
          <w:szCs w:val="26"/>
        </w:rPr>
        <w:t xml:space="preserve">від </w:t>
      </w:r>
      <w:r>
        <w:rPr>
          <w:rFonts w:ascii="Times New Roman" w:hAnsi="Times New Roman"/>
          <w:color w:val="000000"/>
          <w:sz w:val="26"/>
          <w:szCs w:val="26"/>
          <w:lang w:val="uk-UA"/>
        </w:rPr>
        <w:t xml:space="preserve">18 </w:t>
      </w:r>
      <w:r w:rsidR="00A376CD">
        <w:rPr>
          <w:rFonts w:ascii="Times New Roman" w:hAnsi="Times New Roman"/>
          <w:color w:val="000000"/>
          <w:sz w:val="26"/>
          <w:szCs w:val="26"/>
        </w:rPr>
        <w:t>грудня 2025 року №</w:t>
      </w:r>
      <w:r w:rsidR="00A376CD">
        <w:rPr>
          <w:rFonts w:ascii="Times New Roman" w:hAnsi="Times New Roman"/>
          <w:color w:val="000000"/>
          <w:sz w:val="26"/>
          <w:szCs w:val="26"/>
          <w:lang w:val="uk-UA"/>
        </w:rPr>
        <w:t xml:space="preserve"> </w:t>
      </w:r>
      <w:bookmarkStart w:id="0" w:name="_GoBack"/>
      <w:bookmarkEnd w:id="0"/>
      <w:r w:rsidR="00A376CD">
        <w:rPr>
          <w:rFonts w:ascii="Times New Roman" w:hAnsi="Times New Roman"/>
          <w:color w:val="000000"/>
          <w:sz w:val="26"/>
          <w:szCs w:val="26"/>
          <w:lang w:val="uk-UA"/>
        </w:rPr>
        <w:t>2/12</w:t>
      </w:r>
      <w:r w:rsidR="00445E8A">
        <w:rPr>
          <w:rFonts w:ascii="Times New Roman" w:hAnsi="Times New Roman"/>
          <w:color w:val="000000"/>
          <w:sz w:val="26"/>
          <w:szCs w:val="26"/>
        </w:rPr>
        <w:t>_</w:t>
      </w: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26"/>
          <w:szCs w:val="26"/>
        </w:rPr>
      </w:pPr>
    </w:p>
    <w:p w:rsidR="007E149F" w:rsidRDefault="007E149F">
      <w:pPr>
        <w:pBdr>
          <w:top w:val="nil"/>
          <w:left w:val="nil"/>
          <w:bottom w:val="nil"/>
          <w:right w:val="nil"/>
          <w:between w:val="nil"/>
        </w:pBdr>
        <w:spacing w:line="240" w:lineRule="auto"/>
        <w:ind w:left="0" w:hanging="3"/>
        <w:rPr>
          <w:rFonts w:ascii="Times New Roman" w:hAnsi="Times New Roman"/>
          <w:color w:val="000000"/>
          <w:sz w:val="32"/>
          <w:szCs w:val="32"/>
        </w:rPr>
      </w:pPr>
    </w:p>
    <w:p w:rsidR="007E149F" w:rsidRDefault="007E149F">
      <w:pPr>
        <w:pBdr>
          <w:top w:val="nil"/>
          <w:left w:val="nil"/>
          <w:bottom w:val="nil"/>
          <w:right w:val="nil"/>
          <w:between w:val="nil"/>
        </w:pBdr>
        <w:spacing w:line="240" w:lineRule="auto"/>
        <w:ind w:left="1" w:hanging="4"/>
        <w:rPr>
          <w:rFonts w:ascii="Times New Roman" w:hAnsi="Times New Roman"/>
          <w:color w:val="000000"/>
          <w:sz w:val="40"/>
          <w:szCs w:val="40"/>
        </w:rPr>
      </w:pPr>
    </w:p>
    <w:p w:rsidR="007E149F" w:rsidRDefault="00445E8A">
      <w:pPr>
        <w:pBdr>
          <w:top w:val="nil"/>
          <w:left w:val="nil"/>
          <w:bottom w:val="nil"/>
          <w:right w:val="nil"/>
          <w:between w:val="nil"/>
        </w:pBdr>
        <w:spacing w:line="240" w:lineRule="auto"/>
        <w:ind w:left="1" w:hanging="4"/>
        <w:jc w:val="center"/>
        <w:rPr>
          <w:rFonts w:ascii="Times New Roman" w:hAnsi="Times New Roman"/>
          <w:color w:val="000000"/>
          <w:sz w:val="40"/>
          <w:szCs w:val="40"/>
        </w:rPr>
      </w:pPr>
      <w:r>
        <w:rPr>
          <w:rFonts w:ascii="Times New Roman" w:hAnsi="Times New Roman"/>
          <w:b/>
          <w:bCs/>
          <w:color w:val="000000"/>
          <w:sz w:val="40"/>
          <w:szCs w:val="40"/>
        </w:rPr>
        <w:t>П</w:t>
      </w:r>
      <w:r w:rsidR="005E38DB">
        <w:rPr>
          <w:rFonts w:ascii="Times New Roman" w:hAnsi="Times New Roman"/>
          <w:b/>
          <w:bCs/>
          <w:color w:val="000000"/>
          <w:sz w:val="40"/>
          <w:szCs w:val="40"/>
          <w:lang w:val="uk-UA"/>
        </w:rPr>
        <w:t>роєкт П</w:t>
      </w:r>
      <w:r w:rsidR="005E38DB">
        <w:rPr>
          <w:rFonts w:ascii="Times New Roman" w:hAnsi="Times New Roman"/>
          <w:b/>
          <w:bCs/>
          <w:color w:val="000000"/>
          <w:sz w:val="40"/>
          <w:szCs w:val="40"/>
        </w:rPr>
        <w:t>рограм</w:t>
      </w:r>
      <w:r w:rsidR="005E38DB">
        <w:rPr>
          <w:rFonts w:ascii="Times New Roman" w:hAnsi="Times New Roman"/>
          <w:b/>
          <w:bCs/>
          <w:color w:val="000000"/>
          <w:sz w:val="40"/>
          <w:szCs w:val="40"/>
          <w:lang w:val="uk-UA"/>
        </w:rPr>
        <w:t>и</w:t>
      </w:r>
      <w:r>
        <w:rPr>
          <w:rFonts w:ascii="Times New Roman" w:hAnsi="Times New Roman"/>
          <w:b/>
          <w:bCs/>
          <w:color w:val="000000"/>
          <w:sz w:val="40"/>
          <w:szCs w:val="40"/>
        </w:rPr>
        <w:t xml:space="preserve"> </w:t>
      </w:r>
    </w:p>
    <w:p w:rsidR="007E149F" w:rsidRDefault="00445E8A">
      <w:pPr>
        <w:pBdr>
          <w:top w:val="nil"/>
          <w:left w:val="nil"/>
          <w:bottom w:val="nil"/>
          <w:right w:val="nil"/>
          <w:between w:val="nil"/>
        </w:pBdr>
        <w:spacing w:line="240" w:lineRule="auto"/>
        <w:ind w:left="1" w:hanging="4"/>
        <w:jc w:val="center"/>
        <w:rPr>
          <w:rFonts w:ascii="Times New Roman" w:hAnsi="Times New Roman"/>
          <w:color w:val="000000"/>
          <w:sz w:val="40"/>
          <w:szCs w:val="40"/>
        </w:rPr>
      </w:pPr>
      <w:r>
        <w:rPr>
          <w:rFonts w:ascii="Times New Roman" w:hAnsi="Times New Roman"/>
          <w:b/>
          <w:bCs/>
          <w:color w:val="000000"/>
          <w:sz w:val="40"/>
          <w:szCs w:val="40"/>
        </w:rPr>
        <w:t>соціального, економічного та культурного розвитку Боярської міської територіальної громади</w:t>
      </w:r>
    </w:p>
    <w:p w:rsidR="007E149F" w:rsidRDefault="00445E8A">
      <w:pPr>
        <w:pBdr>
          <w:top w:val="nil"/>
          <w:left w:val="nil"/>
          <w:bottom w:val="nil"/>
          <w:right w:val="nil"/>
          <w:between w:val="nil"/>
        </w:pBdr>
        <w:spacing w:line="240" w:lineRule="auto"/>
        <w:ind w:left="1" w:hanging="4"/>
        <w:jc w:val="center"/>
        <w:rPr>
          <w:rFonts w:ascii="Times New Roman" w:hAnsi="Times New Roman"/>
          <w:color w:val="000000"/>
          <w:sz w:val="40"/>
          <w:szCs w:val="40"/>
        </w:rPr>
      </w:pPr>
      <w:r>
        <w:rPr>
          <w:rFonts w:ascii="Times New Roman" w:hAnsi="Times New Roman"/>
          <w:b/>
          <w:bCs/>
          <w:color w:val="000000"/>
          <w:sz w:val="40"/>
          <w:szCs w:val="40"/>
        </w:rPr>
        <w:t>на 2026 рік</w:t>
      </w:r>
    </w:p>
    <w:p w:rsidR="007E149F" w:rsidRDefault="007E149F">
      <w:pPr>
        <w:pBdr>
          <w:top w:val="nil"/>
          <w:left w:val="nil"/>
          <w:bottom w:val="nil"/>
          <w:right w:val="nil"/>
          <w:between w:val="nil"/>
        </w:pBdr>
        <w:spacing w:line="240" w:lineRule="auto"/>
        <w:ind w:left="1" w:hanging="4"/>
        <w:jc w:val="center"/>
        <w:rPr>
          <w:rFonts w:ascii="Times New Roman" w:hAnsi="Times New Roman"/>
          <w:color w:val="000000"/>
          <w:sz w:val="40"/>
          <w:szCs w:val="40"/>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5E38DB" w:rsidRDefault="005E38DB">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Cs w:val="28"/>
        </w:rPr>
      </w:pPr>
      <w:r>
        <w:rPr>
          <w:rFonts w:ascii="Times New Roman" w:hAnsi="Times New Roman"/>
          <w:color w:val="000000"/>
          <w:szCs w:val="28"/>
        </w:rPr>
        <w:t>Боярка 2025</w:t>
      </w:r>
    </w:p>
    <w:tbl>
      <w:tblPr>
        <w:tblStyle w:val="afe"/>
        <w:tblW w:w="966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41"/>
        <w:gridCol w:w="621"/>
      </w:tblGrid>
      <w:tr w:rsidR="007E149F">
        <w:tc>
          <w:tcPr>
            <w:tcW w:w="9662" w:type="dxa"/>
            <w:gridSpan w:val="2"/>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6"/>
                <w:szCs w:val="26"/>
              </w:rPr>
            </w:pPr>
            <w:r>
              <w:rPr>
                <w:rFonts w:ascii="Times New Roman" w:hAnsi="Times New Roman"/>
                <w:b/>
                <w:bCs/>
                <w:color w:val="000000"/>
                <w:sz w:val="26"/>
                <w:szCs w:val="26"/>
              </w:rPr>
              <w:lastRenderedPageBreak/>
              <w:t>ЗМІСТ</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Вступ</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3</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Паспорт програми</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 xml:space="preserve">Аналіз стану соціального, економічного та культурного розвитку Боярської міської територіальної громади за 9 місяців 2025 року </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b/>
                <w:bCs/>
                <w:color w:val="000000"/>
                <w:sz w:val="26"/>
                <w:szCs w:val="26"/>
              </w:rPr>
              <w:t>Мета, завдання та заходи соціального, економічного та культурного розвитку Боярської міської територіальної громади у 2026 році</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Бюджетна політика</w:t>
            </w:r>
          </w:p>
        </w:tc>
        <w:tc>
          <w:tcPr>
            <w:tcW w:w="621" w:type="dxa"/>
          </w:tcPr>
          <w:p w:rsidR="007E149F" w:rsidRPr="00FA726B" w:rsidRDefault="00445E8A" w:rsidP="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sidR="00FA726B">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Регуляторна політика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Промисловий розвиток</w:t>
            </w:r>
          </w:p>
        </w:tc>
        <w:tc>
          <w:tcPr>
            <w:tcW w:w="62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7"/>
                <w:szCs w:val="27"/>
              </w:rPr>
            </w:pPr>
            <w:r>
              <w:rPr>
                <w:rFonts w:ascii="Times New Roman" w:hAnsi="Times New Roman"/>
                <w:color w:val="000000"/>
                <w:sz w:val="27"/>
                <w:szCs w:val="27"/>
              </w:rPr>
              <w:t>64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підприємництва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6</w:t>
            </w:r>
            <w:r>
              <w:rPr>
                <w:rFonts w:ascii="Times New Roman" w:hAnsi="Times New Roman"/>
                <w:color w:val="000000"/>
                <w:sz w:val="27"/>
                <w:szCs w:val="27"/>
                <w:lang w:val="uk-UA"/>
              </w:rPr>
              <w:t>9</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споживчого ринку  та сфери послуг</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70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Продовольча безпека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71</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Земельні відносини</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3</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Містобудівна діяльність</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Сприяння покращенню інвестиційного клімату</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5</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міжнародного співробітництва та залучення міжнародної технічної допомоги</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7</w:t>
            </w:r>
            <w:r>
              <w:rPr>
                <w:rFonts w:ascii="Times New Roman" w:hAnsi="Times New Roman"/>
                <w:color w:val="000000"/>
                <w:sz w:val="27"/>
                <w:szCs w:val="27"/>
                <w:lang w:val="uk-UA"/>
              </w:rPr>
              <w:t>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туристичного потенціалу </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80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Житлово-комунальне господарство</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82</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 xml:space="preserve">Благоустрій територій </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Pr>
                <w:rFonts w:ascii="Times New Roman" w:hAnsi="Times New Roman"/>
                <w:color w:val="000000"/>
                <w:sz w:val="27"/>
                <w:szCs w:val="27"/>
                <w:lang w:val="uk-UA"/>
              </w:rPr>
              <w:t>4</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Енергозабезпечення та енергозбереження</w:t>
            </w:r>
          </w:p>
        </w:tc>
        <w:tc>
          <w:tcPr>
            <w:tcW w:w="621" w:type="dxa"/>
          </w:tcPr>
          <w:p w:rsidR="007E149F" w:rsidRPr="00FA726B" w:rsidRDefault="00445E8A" w:rsidP="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sidR="00FA726B">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Розбудова й модернізація транспортної інфраструктури</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Pr>
                <w:rFonts w:ascii="Times New Roman" w:hAnsi="Times New Roman"/>
                <w:color w:val="000000"/>
                <w:sz w:val="27"/>
                <w:szCs w:val="27"/>
                <w:lang w:val="uk-UA"/>
              </w:rPr>
              <w:t>7</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Управління об’єктами комунальної власності</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8</w:t>
            </w:r>
            <w:r>
              <w:rPr>
                <w:rFonts w:ascii="Times New Roman" w:hAnsi="Times New Roman"/>
                <w:color w:val="000000"/>
                <w:sz w:val="27"/>
                <w:szCs w:val="27"/>
                <w:lang w:val="uk-UA"/>
              </w:rPr>
              <w:t>9</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Соціальний захист населення</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90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Підтримка сімей, захист прав дітей</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95</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Розвиток молодіжної інфраструктури, національно-патріотичного виховання</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9</w:t>
            </w:r>
            <w:r>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Охорона здоров’я  </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9</w:t>
            </w:r>
            <w:r>
              <w:rPr>
                <w:rFonts w:ascii="Times New Roman" w:hAnsi="Times New Roman"/>
                <w:color w:val="000000"/>
                <w:sz w:val="27"/>
                <w:szCs w:val="27"/>
                <w:lang w:val="uk-UA"/>
              </w:rPr>
              <w:t>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Освіта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lang w:val="uk-UA"/>
              </w:rPr>
              <w:t>100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Культура</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sidR="007C07AA">
              <w:rPr>
                <w:rFonts w:ascii="Times New Roman" w:hAnsi="Times New Roman"/>
                <w:color w:val="000000"/>
                <w:sz w:val="27"/>
                <w:szCs w:val="27"/>
                <w:lang w:val="uk-UA"/>
              </w:rPr>
              <w:t>07</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Фізична культура і спорт</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Pr>
                <w:rFonts w:ascii="Times New Roman" w:hAnsi="Times New Roman"/>
                <w:color w:val="000000"/>
                <w:sz w:val="27"/>
                <w:szCs w:val="27"/>
                <w:lang w:val="uk-UA"/>
              </w:rPr>
              <w:t>11</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Покращення стану довкілля</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Pr>
                <w:rFonts w:ascii="Times New Roman" w:hAnsi="Times New Roman"/>
                <w:color w:val="000000"/>
                <w:sz w:val="27"/>
                <w:szCs w:val="27"/>
                <w:lang w:val="uk-UA"/>
              </w:rPr>
              <w:t>5</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Попередження правопорушень та безпека життєдіяльності</w:t>
            </w:r>
          </w:p>
        </w:tc>
        <w:tc>
          <w:tcPr>
            <w:tcW w:w="621" w:type="dxa"/>
          </w:tcPr>
          <w:p w:rsidR="007E149F" w:rsidRPr="00FA726B" w:rsidRDefault="00FA726B">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sidR="007C07AA">
              <w:rPr>
                <w:rFonts w:ascii="Times New Roman" w:hAnsi="Times New Roman"/>
                <w:color w:val="000000"/>
                <w:sz w:val="27"/>
                <w:szCs w:val="27"/>
                <w:lang w:val="uk-UA"/>
              </w:rPr>
              <w:t>6</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Національний спротив</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Pr>
                <w:rFonts w:ascii="Times New Roman" w:hAnsi="Times New Roman"/>
                <w:color w:val="000000"/>
                <w:sz w:val="27"/>
                <w:szCs w:val="27"/>
                <w:lang w:val="uk-UA"/>
              </w:rPr>
              <w:t>7</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Мобілізаційна робота</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11</w:t>
            </w:r>
            <w:r>
              <w:rPr>
                <w:rFonts w:ascii="Times New Roman" w:hAnsi="Times New Roman"/>
                <w:color w:val="000000"/>
                <w:sz w:val="27"/>
                <w:szCs w:val="27"/>
                <w:lang w:val="uk-UA"/>
              </w:rPr>
              <w:t>9</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Підвищення прозорості та громадської довіри</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Pr>
                <w:rFonts w:ascii="Times New Roman" w:hAnsi="Times New Roman"/>
                <w:color w:val="000000"/>
                <w:sz w:val="27"/>
                <w:szCs w:val="27"/>
                <w:lang w:val="uk-UA"/>
              </w:rPr>
              <w:t>20</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Цифрова трасформація</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w:t>
            </w:r>
            <w:r>
              <w:rPr>
                <w:rFonts w:ascii="Times New Roman" w:hAnsi="Times New Roman"/>
                <w:color w:val="000000"/>
                <w:sz w:val="27"/>
                <w:szCs w:val="27"/>
                <w:lang w:val="uk-UA"/>
              </w:rPr>
              <w:t>22</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Покращення якості адміністративних послуг</w:t>
            </w:r>
          </w:p>
        </w:tc>
        <w:tc>
          <w:tcPr>
            <w:tcW w:w="621" w:type="dxa"/>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Pr>
                <w:rFonts w:ascii="Times New Roman" w:hAnsi="Times New Roman"/>
                <w:color w:val="000000"/>
                <w:sz w:val="27"/>
                <w:szCs w:val="27"/>
              </w:rPr>
              <w:t>12</w:t>
            </w:r>
            <w:r>
              <w:rPr>
                <w:rFonts w:ascii="Times New Roman" w:hAnsi="Times New Roman"/>
                <w:color w:val="000000"/>
                <w:sz w:val="27"/>
                <w:szCs w:val="27"/>
                <w:lang w:val="uk-UA"/>
              </w:rPr>
              <w:t>5</w:t>
            </w:r>
          </w:p>
        </w:tc>
      </w:tr>
      <w:tr w:rsidR="007E149F" w:rsidRPr="007C07AA" w:rsidTr="007C07AA">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highlight w:val="yellow"/>
              </w:rPr>
            </w:pPr>
            <w:r>
              <w:rPr>
                <w:rFonts w:ascii="Times New Roman" w:hAnsi="Times New Roman"/>
                <w:b/>
                <w:bCs/>
                <w:color w:val="000000"/>
                <w:sz w:val="26"/>
                <w:szCs w:val="26"/>
              </w:rPr>
              <w:t>Додатки</w:t>
            </w:r>
          </w:p>
        </w:tc>
        <w:tc>
          <w:tcPr>
            <w:tcW w:w="621" w:type="dxa"/>
            <w:shd w:val="clear" w:color="auto" w:fill="auto"/>
          </w:tcPr>
          <w:p w:rsidR="007E149F" w:rsidRPr="007C07AA" w:rsidRDefault="007C07AA">
            <w:pPr>
              <w:pBdr>
                <w:top w:val="nil"/>
                <w:left w:val="nil"/>
                <w:bottom w:val="nil"/>
                <w:right w:val="nil"/>
                <w:between w:val="nil"/>
              </w:pBdr>
              <w:spacing w:line="240" w:lineRule="auto"/>
              <w:ind w:left="0" w:hanging="3"/>
              <w:jc w:val="both"/>
              <w:rPr>
                <w:rFonts w:ascii="Times New Roman" w:hAnsi="Times New Roman"/>
                <w:color w:val="000000"/>
                <w:sz w:val="27"/>
                <w:szCs w:val="27"/>
                <w:lang w:val="uk-UA"/>
              </w:rPr>
            </w:pPr>
            <w:r w:rsidRPr="007C07AA">
              <w:rPr>
                <w:rFonts w:ascii="Times New Roman" w:hAnsi="Times New Roman"/>
                <w:color w:val="000000"/>
                <w:sz w:val="27"/>
                <w:szCs w:val="27"/>
                <w:lang w:val="uk-UA"/>
              </w:rPr>
              <w:t>128</w:t>
            </w: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Додаток 1 Основні показники</w:t>
            </w:r>
            <w:r>
              <w:rPr>
                <w:rFonts w:eastAsia="Antiqua" w:cs="Antiqua"/>
                <w:color w:val="000000"/>
                <w:szCs w:val="28"/>
              </w:rPr>
              <w:t xml:space="preserve"> </w:t>
            </w:r>
            <w:r>
              <w:rPr>
                <w:rFonts w:ascii="Times New Roman" w:hAnsi="Times New Roman"/>
                <w:color w:val="000000"/>
                <w:sz w:val="26"/>
                <w:szCs w:val="26"/>
              </w:rPr>
              <w:t xml:space="preserve">соціально-економічного розвитку Боярської міської територіальної громади </w:t>
            </w:r>
          </w:p>
        </w:tc>
        <w:tc>
          <w:tcPr>
            <w:tcW w:w="621" w:type="dxa"/>
          </w:tcPr>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7"/>
                <w:szCs w:val="27"/>
                <w:highlight w:val="yellow"/>
              </w:rPr>
            </w:pP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Додаток 2. Перелік програм Боярської міської територіальної громади</w:t>
            </w:r>
          </w:p>
        </w:tc>
        <w:tc>
          <w:tcPr>
            <w:tcW w:w="621" w:type="dxa"/>
          </w:tcPr>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7"/>
                <w:szCs w:val="27"/>
                <w:highlight w:val="yellow"/>
              </w:rPr>
            </w:pPr>
          </w:p>
        </w:tc>
      </w:tr>
      <w:tr w:rsidR="007E149F">
        <w:tc>
          <w:tcPr>
            <w:tcW w:w="9041" w:type="dxa"/>
          </w:tcPr>
          <w:p w:rsidR="007E149F" w:rsidRDefault="00445E8A">
            <w:pPr>
              <w:pBdr>
                <w:top w:val="nil"/>
                <w:left w:val="nil"/>
                <w:bottom w:val="nil"/>
                <w:right w:val="nil"/>
                <w:between w:val="nil"/>
              </w:pBdr>
              <w:spacing w:line="240" w:lineRule="auto"/>
              <w:ind w:left="0" w:hanging="3"/>
              <w:jc w:val="both"/>
              <w:rPr>
                <w:rFonts w:ascii="Times New Roman" w:hAnsi="Times New Roman"/>
                <w:color w:val="000000"/>
                <w:sz w:val="26"/>
                <w:szCs w:val="26"/>
              </w:rPr>
            </w:pPr>
            <w:r>
              <w:rPr>
                <w:rFonts w:ascii="Times New Roman" w:hAnsi="Times New Roman"/>
                <w:color w:val="000000"/>
                <w:sz w:val="26"/>
                <w:szCs w:val="26"/>
              </w:rPr>
              <w:t>Додаток 3</w:t>
            </w:r>
            <w:r>
              <w:rPr>
                <w:rFonts w:eastAsia="Antiqua" w:cs="Antiqua"/>
                <w:color w:val="000000"/>
                <w:szCs w:val="28"/>
              </w:rPr>
              <w:t xml:space="preserve"> </w:t>
            </w:r>
            <w:r>
              <w:rPr>
                <w:rFonts w:ascii="Times New Roman" w:hAnsi="Times New Roman"/>
                <w:color w:val="000000"/>
                <w:sz w:val="26"/>
                <w:szCs w:val="26"/>
              </w:rPr>
              <w:t>Перелік інвестиційних проєктів, які потребують фінансування у 2026 р</w:t>
            </w:r>
          </w:p>
        </w:tc>
        <w:tc>
          <w:tcPr>
            <w:tcW w:w="621" w:type="dxa"/>
          </w:tcPr>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7"/>
                <w:szCs w:val="27"/>
                <w:highlight w:val="yellow"/>
              </w:rPr>
            </w:pPr>
          </w:p>
        </w:tc>
      </w:tr>
    </w:tbl>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ВСТУП</w:t>
      </w:r>
    </w:p>
    <w:p w:rsidR="007E149F" w:rsidRDefault="00445E8A" w:rsidP="00307770">
      <w:pPr>
        <w:pBdr>
          <w:top w:val="nil"/>
          <w:left w:val="nil"/>
          <w:bottom w:val="nil"/>
          <w:right w:val="nil"/>
          <w:between w:val="nil"/>
        </w:pBdr>
        <w:shd w:val="clear" w:color="auto" w:fill="FFFFFF"/>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Програма соціального, економічного та культурного розвитку Боярської міської територіальної громади на 2026 рік (далі – Програма), розроблена відділом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 у співпраці з іншими структурними підрозділами громади, враховує сучасні виклики та пріоритети розвитку в умовах військової агресії російської федерації та тривалої дії правового режиму воєнного стану.</w:t>
      </w:r>
    </w:p>
    <w:p w:rsidR="007E149F" w:rsidRDefault="00445E8A" w:rsidP="00307770">
      <w:pPr>
        <w:pBdr>
          <w:top w:val="nil"/>
          <w:left w:val="nil"/>
          <w:bottom w:val="nil"/>
          <w:right w:val="nil"/>
          <w:between w:val="nil"/>
        </w:pBdr>
        <w:shd w:val="clear" w:color="auto" w:fill="FFFFFF"/>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Спираючись на Стратегію розвитку Боярської громади до 2027 року та План заходів з її реалізації на 2025-2027 роки, ця </w:t>
      </w:r>
      <w:r>
        <w:rPr>
          <w:rFonts w:ascii="Times New Roman" w:hAnsi="Times New Roman"/>
          <w:b/>
          <w:bCs/>
          <w:color w:val="000000"/>
          <w:szCs w:val="28"/>
        </w:rPr>
        <w:t>Програма ставить за мету</w:t>
      </w:r>
      <w:r>
        <w:rPr>
          <w:rFonts w:ascii="Times New Roman" w:hAnsi="Times New Roman"/>
          <w:color w:val="000000"/>
          <w:szCs w:val="28"/>
        </w:rPr>
        <w:t xml:space="preserve"> забезпечити стабільне та стійке функціонування територіальної громади, сприяючи соціальній згуртованості, економічній мобілізації та покращенню якості життя мешканців. Вона орієнтована на максимальне залучення ресурсів, підтримку і розвиток місцевого бізнесу, охорону довкілля, підвищення рівня соціального захисту населення, а також на підвищення ефективності системи надання освітніх, медичних і житлово-комунальних послуг. Програма відображає стратегічне бачення сталого розвитку громади в контексті національних та регіональних цілей, з урахуванням можливостей і ресурсних потенціалів місцевого рівня, і визначає пріоритетні напрямки діяльності на 2026 рік, забезпечуючи їх фінансове та організаційне наповнення у відповідності до чинного законодавства та постійно досконалюваних планів розвитку.</w:t>
      </w:r>
    </w:p>
    <w:p w:rsidR="007E149F" w:rsidRDefault="00445E8A" w:rsidP="00307770">
      <w:pPr>
        <w:pBdr>
          <w:top w:val="nil"/>
          <w:left w:val="nil"/>
          <w:bottom w:val="nil"/>
          <w:right w:val="nil"/>
          <w:between w:val="nil"/>
        </w:pBdr>
        <w:shd w:val="clear" w:color="auto" w:fill="FFFFFF"/>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Законодавчою підставою для розроблення Програми є:</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rFonts w:ascii="Times New Roman" w:hAnsi="Times New Roman"/>
          <w:color w:val="000000"/>
          <w:szCs w:val="28"/>
        </w:rPr>
      </w:pPr>
      <w:r>
        <w:rPr>
          <w:rFonts w:ascii="Times New Roman" w:hAnsi="Times New Roman"/>
          <w:color w:val="000000"/>
          <w:szCs w:val="28"/>
        </w:rPr>
        <w:t>стаття 143 Конституції України;</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rFonts w:ascii="Times New Roman" w:hAnsi="Times New Roman"/>
          <w:color w:val="000000"/>
          <w:szCs w:val="28"/>
        </w:rPr>
      </w:pPr>
      <w:r>
        <w:rPr>
          <w:rFonts w:ascii="Times New Roman" w:hAnsi="Times New Roman"/>
          <w:color w:val="000000"/>
          <w:szCs w:val="28"/>
        </w:rPr>
        <w:t xml:space="preserve">закони України "Про місцеве самоврядування в Україні", «Про правовий режим воєнного стану», "Про засади державної регіональної політики", "Про державне прогнозування та розроблення програм економічного і соціального розвитку України"; </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szCs w:val="28"/>
        </w:rPr>
      </w:pPr>
      <w:r>
        <w:rPr>
          <w:szCs w:val="28"/>
        </w:rPr>
        <w:t>Бюджетний Кодекс України;</w:t>
      </w:r>
    </w:p>
    <w:p w:rsidR="007E149F" w:rsidRDefault="00445E8A" w:rsidP="00307770">
      <w:pPr>
        <w:numPr>
          <w:ilvl w:val="0"/>
          <w:numId w:val="20"/>
        </w:numPr>
        <w:pBdr>
          <w:top w:val="nil"/>
          <w:left w:val="nil"/>
          <w:bottom w:val="nil"/>
          <w:right w:val="nil"/>
          <w:between w:val="nil"/>
        </w:pBdr>
        <w:spacing w:line="360" w:lineRule="auto"/>
        <w:ind w:leftChars="0" w:left="0" w:right="-324" w:firstLineChars="253" w:firstLine="708"/>
        <w:jc w:val="both"/>
        <w:rPr>
          <w:rFonts w:ascii="Times New Roman" w:hAnsi="Times New Roman"/>
          <w:color w:val="000000"/>
          <w:szCs w:val="28"/>
        </w:rPr>
      </w:pPr>
      <w:r>
        <w:rPr>
          <w:rFonts w:ascii="Times New Roman" w:hAnsi="Times New Roman"/>
          <w:color w:val="000000"/>
          <w:szCs w:val="28"/>
        </w:rPr>
        <w:t xml:space="preserve">постанова Кабінету Міністрів України від 26 квітня 2003 року № 621 "Про розроблення прогнозних і програмних документів економічного і соціального </w:t>
      </w:r>
      <w:r>
        <w:rPr>
          <w:rFonts w:ascii="Times New Roman" w:hAnsi="Times New Roman"/>
          <w:color w:val="000000"/>
          <w:szCs w:val="28"/>
        </w:rPr>
        <w:lastRenderedPageBreak/>
        <w:t xml:space="preserve">розвитку та складання проекту державного бюджету" (із змінами) </w:t>
      </w:r>
      <w:hyperlink r:id="rId8" w:anchor="Text">
        <w:r>
          <w:rPr>
            <w:rFonts w:ascii="Times New Roman" w:hAnsi="Times New Roman"/>
            <w:color w:val="0563C1"/>
            <w:szCs w:val="28"/>
            <w:u w:val="single"/>
          </w:rPr>
          <w:t>https://zakon.rada.gov.ua/laws/show/335-2019-%D0%BF#Text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При підготовці Програми враховані завдання інших документів державного планування, а саме: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Цілей сталого розвитку України до 2030 року (Указ Президента України від 30 вересня 2019 року № 722), </w:t>
      </w:r>
      <w:hyperlink r:id="rId9" w:anchor="Text">
        <w:r>
          <w:rPr>
            <w:rFonts w:ascii="Times New Roman" w:hAnsi="Times New Roman"/>
            <w:color w:val="0563C1"/>
            <w:szCs w:val="28"/>
            <w:u w:val="single"/>
          </w:rPr>
          <w:t>https://zakon.rada.gov.ua/laws/show/722/2019#Text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333333"/>
          <w:szCs w:val="28"/>
          <w:highlight w:val="white"/>
        </w:rPr>
      </w:pPr>
      <w:r>
        <w:rPr>
          <w:rFonts w:ascii="Times New Roman" w:hAnsi="Times New Roman"/>
          <w:color w:val="000000"/>
          <w:szCs w:val="28"/>
        </w:rPr>
        <w:t xml:space="preserve">- Державної стратегії регіонального розвитку на 2021-2027 роки, затвердженої постановою Кабінету Міністрів України від 05 серпня 2020 року № 695 (зі змінами, внесеними постановою Кабінету Міністрів України від 13 серпня 2024 року № 940), </w:t>
      </w:r>
      <w:hyperlink r:id="rId10" w:anchor="Text">
        <w:r>
          <w:rPr>
            <w:rFonts w:ascii="Times New Roman" w:hAnsi="Times New Roman"/>
            <w:color w:val="0563C1"/>
            <w:szCs w:val="28"/>
            <w:u w:val="single"/>
          </w:rPr>
          <w:t>https://zakon.rada.gov.ua/laws/show/695-2020-%D0%BF#Text</w:t>
        </w:r>
      </w:hyperlink>
      <w:r>
        <w:rPr>
          <w:rFonts w:ascii="Times New Roman" w:hAnsi="Times New Roman"/>
          <w:b/>
          <w:bCs/>
          <w:color w:val="333333"/>
          <w:szCs w:val="28"/>
          <w:highlight w:val="white"/>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Плану України на 2024-2027 роки в рамках Програми фінансової підтримки України від Європейського Союзу «Ukraine Facility», затвердженого розпорядженням Кабінету Міністрів України від 18.03.2024 № 244-р., і</w:t>
      </w:r>
      <w:r>
        <w:rPr>
          <w:rFonts w:ascii="Times New Roman" w:hAnsi="Times New Roman"/>
          <w:color w:val="333333"/>
          <w:szCs w:val="28"/>
          <w:highlight w:val="white"/>
        </w:rPr>
        <w:t xml:space="preserve">з змінами, внесеними згідно з розпорядженням КМУ </w:t>
      </w:r>
      <w:hyperlink r:id="rId11" w:anchor="n2">
        <w:r>
          <w:rPr>
            <w:rFonts w:ascii="Times New Roman" w:hAnsi="Times New Roman"/>
            <w:color w:val="333333"/>
            <w:szCs w:val="28"/>
            <w:highlight w:val="white"/>
          </w:rPr>
          <w:t>№ 817-р від 01.08.2025</w:t>
        </w:r>
      </w:hyperlink>
      <w:r>
        <w:rPr>
          <w:rFonts w:ascii="Times New Roman" w:hAnsi="Times New Roman"/>
          <w:color w:val="333333"/>
          <w:szCs w:val="28"/>
          <w:highlight w:val="white"/>
        </w:rPr>
        <w:t xml:space="preserve"> </w:t>
      </w:r>
      <w:hyperlink r:id="rId12" w:anchor="Text">
        <w:r>
          <w:rPr>
            <w:rFonts w:ascii="Times New Roman" w:hAnsi="Times New Roman"/>
            <w:color w:val="0563C1"/>
            <w:szCs w:val="28"/>
            <w:u w:val="single"/>
          </w:rPr>
          <w:t>https://zakon.rada.gov.ua/laws/show/244-2024-%D1%80#Text</w:t>
        </w:r>
      </w:hyperlink>
      <w:r>
        <w:rPr>
          <w:rFonts w:ascii="Times New Roman" w:hAnsi="Times New Roman"/>
          <w:color w:val="000000"/>
          <w:szCs w:val="28"/>
        </w:rPr>
        <w:t xml:space="preserve">;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Бюджетної декларації на 2025-2027 роки, схваленою постановою Кабінету Міністрів України від 28 червня 2024 року № 751 </w:t>
      </w:r>
      <w:hyperlink r:id="rId13" w:anchor="Text">
        <w:r>
          <w:rPr>
            <w:rFonts w:ascii="Times New Roman" w:hAnsi="Times New Roman"/>
            <w:color w:val="0563C1"/>
            <w:szCs w:val="28"/>
            <w:u w:val="single"/>
          </w:rPr>
          <w:t>https://zakon.rada.gov.ua/laws/show/751-2024-%D0%BF#Text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Національного плану дій з охорони навколишнього природного середовища на період до 2025 року, затвердженого розпорядженням Кабінету Міністрів України від 21 квітня 2021 року № 443-р. </w:t>
      </w:r>
      <w:hyperlink r:id="rId14" w:anchor="Text">
        <w:r>
          <w:rPr>
            <w:rFonts w:ascii="Times New Roman" w:hAnsi="Times New Roman"/>
            <w:color w:val="0563C1"/>
            <w:szCs w:val="28"/>
            <w:u w:val="single"/>
          </w:rPr>
          <w:t>https://zakon.rada.gov.ua/laws/show/443-2021-%D1%80#Text</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Стратегії розвитку Київської області на 2021-2027 роки (нова редакція), затвердженої рішенням Київської обласної ради від 06 березня 2025 року № 1259-31-VIII (</w:t>
      </w:r>
      <w:hyperlink r:id="rId15">
        <w:r>
          <w:rPr>
            <w:rFonts w:ascii="Times New Roman" w:hAnsi="Times New Roman"/>
            <w:color w:val="0563C1"/>
            <w:szCs w:val="28"/>
            <w:u w:val="single"/>
          </w:rPr>
          <w:t>https://koda.gov.ua/wp-content/uploads/2025/03/strategiya-ko-2021-2027-nova-redakcziya-1.pdf</w:t>
        </w:r>
      </w:hyperlink>
      <w:r>
        <w:rPr>
          <w:rFonts w:ascii="Times New Roman" w:hAnsi="Times New Roman"/>
          <w:color w:val="000000"/>
          <w:szCs w:val="28"/>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 Стратегії розвитку Боярської міської територіальної громади до 2027 року та Плану заходів на 2025-2027 роки з реалізації Стратегії розвитку Боярської міської територіальної громади до 2027 року, затвердженої рішенням чергової 70 </w:t>
      </w:r>
      <w:r>
        <w:rPr>
          <w:rFonts w:ascii="Times New Roman" w:hAnsi="Times New Roman"/>
          <w:color w:val="000000"/>
          <w:szCs w:val="28"/>
        </w:rPr>
        <w:lastRenderedPageBreak/>
        <w:t>сесії Боярської міської ради VIII скликання від 10.07.2025 № 70/3871 затверджено (</w:t>
      </w:r>
      <w:hyperlink r:id="rId16">
        <w:r>
          <w:rPr>
            <w:rFonts w:ascii="Times New Roman" w:hAnsi="Times New Roman"/>
            <w:color w:val="1155CC"/>
            <w:szCs w:val="28"/>
            <w:u w:val="single"/>
          </w:rPr>
          <w:t>https://boiarka-rada.gov.ua/gromada/gromada/strategiya-polityky-plans/</w:t>
        </w:r>
      </w:hyperlink>
      <w:r>
        <w:rPr>
          <w:rFonts w:ascii="Times New Roman" w:hAnsi="Times New Roman"/>
          <w:color w:val="000000"/>
          <w:szCs w:val="28"/>
        </w:rPr>
        <w:t xml:space="preserve">);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Середньостроковий план пріоритетних публічних інвестицій Боярської міської територіальної громади на 2026-2028 роки (</w:t>
      </w:r>
      <w:hyperlink r:id="rId17">
        <w:r>
          <w:rPr>
            <w:rFonts w:ascii="Times New Roman" w:hAnsi="Times New Roman"/>
            <w:color w:val="1155CC"/>
            <w:szCs w:val="28"/>
            <w:u w:val="single"/>
          </w:rPr>
          <w:t>https://boiarka-rada.gov.ua/gromada/gromada/strategiya-polityky-plans/</w:t>
        </w:r>
      </w:hyperlink>
      <w:r>
        <w:rPr>
          <w:rFonts w:ascii="Times New Roman" w:hAnsi="Times New Roman"/>
          <w:color w:val="1155CC"/>
          <w:szCs w:val="28"/>
          <w:u w:val="single"/>
        </w:rPr>
        <w:t>).</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 xml:space="preserve">Програма містить наступні додатки: </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«Перелік показників соціально-економічного розвитку громади», (додаток 1).</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«Перелік цільових програм, які передбачається фінансувати у 2026 році» (додаток 2),</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«Перелік інвестиційних проєктів, які планується реалізувати у 2026 році» (додаток 3).</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Фінансування пріоритетних напрямів здійснюватиметься через місцеві цільові програми, з урахуванням реальних можливостей бюджету, а також виділених фінансових ресурсів державного бюджету, грантових коштів, кредитних ресурсів та коштів міжнародної технічної допомоги.</w:t>
      </w:r>
    </w:p>
    <w:p w:rsidR="007E149F" w:rsidRDefault="00445E8A" w:rsidP="00307770">
      <w:pPr>
        <w:pBdr>
          <w:top w:val="nil"/>
          <w:left w:val="nil"/>
          <w:bottom w:val="nil"/>
          <w:right w:val="nil"/>
          <w:between w:val="nil"/>
        </w:pBdr>
        <w:spacing w:line="360" w:lineRule="auto"/>
        <w:ind w:leftChars="0" w:left="0" w:firstLineChars="253" w:firstLine="708"/>
        <w:jc w:val="both"/>
        <w:rPr>
          <w:rFonts w:ascii="Times New Roman" w:hAnsi="Times New Roman"/>
          <w:color w:val="000000"/>
          <w:szCs w:val="28"/>
        </w:rPr>
      </w:pPr>
      <w:r>
        <w:rPr>
          <w:rFonts w:ascii="Times New Roman" w:hAnsi="Times New Roman"/>
          <w:color w:val="000000"/>
          <w:szCs w:val="28"/>
        </w:rPr>
        <w:t>Зміни та доповнення до Програми затверджуються Боярською міською радою за поданням відповідного структурного підрозділу Виконавчого комітету Боярської міської ради. </w:t>
      </w:r>
    </w:p>
    <w:p w:rsidR="007E149F" w:rsidRDefault="00445E8A"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r>
        <w:rPr>
          <w:rFonts w:ascii="Times New Roman" w:hAnsi="Times New Roman"/>
          <w:color w:val="000000"/>
          <w:szCs w:val="28"/>
        </w:rPr>
        <w:t>Виконавчий комітет Боярської міської ради здійснює поточне управління та оперативний контроль ходу реалізації програмних заходів та звітує перед міською радою про її виконання.</w:t>
      </w:r>
    </w:p>
    <w:p w:rsidR="007E149F" w:rsidRDefault="00445E8A"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r>
        <w:rPr>
          <w:rFonts w:ascii="Times New Roman" w:hAnsi="Times New Roman"/>
          <w:color w:val="000000"/>
          <w:szCs w:val="28"/>
        </w:rPr>
        <w:t>Річний звіт про виконання Програми подається на розгляд Боярської міської ради для затвердження його в установленому порядку.</w:t>
      </w:r>
    </w:p>
    <w:p w:rsidR="007E149F" w:rsidRDefault="007E149F"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p>
    <w:p w:rsidR="007E149F" w:rsidRDefault="007E149F" w:rsidP="00307770">
      <w:pPr>
        <w:pBdr>
          <w:top w:val="nil"/>
          <w:left w:val="nil"/>
          <w:bottom w:val="nil"/>
          <w:right w:val="nil"/>
          <w:between w:val="nil"/>
        </w:pBdr>
        <w:spacing w:line="360" w:lineRule="auto"/>
        <w:ind w:leftChars="0" w:left="0" w:right="-41" w:firstLineChars="253" w:firstLine="708"/>
        <w:jc w:val="both"/>
        <w:rPr>
          <w:rFonts w:ascii="Times New Roman" w:hAnsi="Times New Roman"/>
          <w:color w:val="000000"/>
          <w:szCs w:val="28"/>
        </w:rPr>
      </w:pPr>
    </w:p>
    <w:p w:rsidR="007E149F" w:rsidRDefault="007E149F"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307770" w:rsidRDefault="00307770"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rPr>
      </w:pPr>
    </w:p>
    <w:p w:rsidR="00FC0DF4" w:rsidRPr="00DA4BFF" w:rsidRDefault="00FC0DF4" w:rsidP="00307770">
      <w:pPr>
        <w:pBdr>
          <w:top w:val="nil"/>
          <w:left w:val="nil"/>
          <w:bottom w:val="nil"/>
          <w:right w:val="nil"/>
          <w:between w:val="nil"/>
        </w:pBdr>
        <w:spacing w:line="240" w:lineRule="auto"/>
        <w:ind w:leftChars="0" w:left="0" w:right="-41" w:firstLineChars="0" w:firstLine="0"/>
        <w:jc w:val="both"/>
        <w:rPr>
          <w:rFonts w:ascii="Times New Roman" w:hAnsi="Times New Roman"/>
          <w:color w:val="000000"/>
          <w:szCs w:val="28"/>
          <w:lang w:val="ru-RU"/>
        </w:rPr>
      </w:pPr>
    </w:p>
    <w:p w:rsidR="007E149F" w:rsidRDefault="00445E8A">
      <w:pPr>
        <w:pBdr>
          <w:top w:val="nil"/>
          <w:left w:val="nil"/>
          <w:bottom w:val="nil"/>
          <w:right w:val="nil"/>
          <w:between w:val="nil"/>
        </w:pBdr>
        <w:shd w:val="clear" w:color="auto" w:fill="FFFFFF"/>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ПАСПОРТ</w:t>
      </w:r>
    </w:p>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Програми соціального, економічного та культурного розвитку</w:t>
      </w:r>
    </w:p>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Боярської міської територіальної громади на 2026 рік</w:t>
      </w:r>
    </w:p>
    <w:tbl>
      <w:tblPr>
        <w:tblStyle w:val="aff"/>
        <w:tblW w:w="95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3402"/>
        <w:gridCol w:w="5494"/>
      </w:tblGrid>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1.</w:t>
            </w:r>
          </w:p>
        </w:tc>
        <w:tc>
          <w:tcPr>
            <w:tcW w:w="3402" w:type="dxa"/>
          </w:tcPr>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color w:val="000000"/>
                <w:szCs w:val="28"/>
              </w:rPr>
              <w:t>Ініціатор розроблення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color w:val="000000"/>
                <w:szCs w:val="28"/>
              </w:rPr>
              <w:t>Боярська міська рада</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2.</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Дата, номер і назва розпорядчого документу органу виконавчої влади про розроблення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jc w:val="both"/>
              <w:rPr>
                <w:rFonts w:ascii="Times New Roman" w:hAnsi="Times New Roman"/>
                <w:color w:val="000000"/>
                <w:szCs w:val="28"/>
              </w:rPr>
            </w:pPr>
            <w:r>
              <w:rPr>
                <w:rFonts w:ascii="Times New Roman" w:hAnsi="Times New Roman"/>
                <w:color w:val="000000"/>
                <w:szCs w:val="28"/>
              </w:rPr>
              <w:t>Закони України «Про місцеве самоврядування в Україні», Про правовий режим воєнного стану», "Про засади державної регіональної політики" «Про державне прогнозування та розроблення програм економічного і соціального розвитку України», постанова Кабінету Міністрів України «Про розроблення прогнозних і програмних документів економічного і соціального розвитку та складання проектів Бюджетної декларації та державного бюджету», із змінами (від 26.04.2003 №621)</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3.</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Розробник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jc w:val="both"/>
              <w:rPr>
                <w:rFonts w:ascii="Times New Roman" w:hAnsi="Times New Roman"/>
                <w:color w:val="000000"/>
                <w:szCs w:val="28"/>
              </w:rPr>
            </w:pPr>
            <w:r>
              <w:rPr>
                <w:rFonts w:ascii="Times New Roman" w:hAnsi="Times New Roman"/>
                <w:color w:val="000000"/>
                <w:szCs w:val="28"/>
              </w:rPr>
              <w:t>Відділ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4.</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Співрозробники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Структурні підрозділи Боярської міської ради, управління Боярської міської ради</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5.</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Відповідальні виконавці</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Виконавчий комітет Боярської міської ради, управління міської ради, комунальні підприємства громади</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lastRenderedPageBreak/>
              <w:t>6.</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Учасники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Суб’єкти господарювання громади, дієва громадськість</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7.</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Термін реалізації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2026 рік</w:t>
            </w:r>
          </w:p>
        </w:tc>
      </w:tr>
      <w:tr w:rsidR="007E149F">
        <w:tc>
          <w:tcPr>
            <w:tcW w:w="675" w:type="dxa"/>
          </w:tcPr>
          <w:p w:rsidR="007E149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Pr>
                <w:rFonts w:ascii="Times New Roman" w:hAnsi="Times New Roman"/>
                <w:color w:val="000000"/>
                <w:szCs w:val="28"/>
              </w:rPr>
              <w:t>8.</w:t>
            </w:r>
          </w:p>
        </w:tc>
        <w:tc>
          <w:tcPr>
            <w:tcW w:w="3402"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Перелік бюджетів, які беруть участь у виконанні Програми:</w:t>
            </w:r>
          </w:p>
        </w:tc>
        <w:tc>
          <w:tcPr>
            <w:tcW w:w="5494" w:type="dxa"/>
          </w:tcPr>
          <w:p w:rsidR="007E149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Pr>
                <w:rFonts w:ascii="Times New Roman" w:hAnsi="Times New Roman"/>
                <w:color w:val="000000"/>
                <w:szCs w:val="28"/>
              </w:rPr>
              <w:t>Бюджети усіх рівнів</w:t>
            </w:r>
          </w:p>
        </w:tc>
      </w:tr>
      <w:tr w:rsidR="007E149F">
        <w:tc>
          <w:tcPr>
            <w:tcW w:w="675" w:type="dxa"/>
          </w:tcPr>
          <w:p w:rsidR="007E149F" w:rsidRPr="00DA4BFF" w:rsidRDefault="00445E8A">
            <w:pPr>
              <w:pBdr>
                <w:top w:val="nil"/>
                <w:left w:val="nil"/>
                <w:bottom w:val="nil"/>
                <w:right w:val="nil"/>
                <w:between w:val="nil"/>
              </w:pBdr>
              <w:tabs>
                <w:tab w:val="left" w:pos="540"/>
              </w:tabs>
              <w:spacing w:line="360" w:lineRule="auto"/>
              <w:ind w:left="0" w:right="21" w:hanging="3"/>
              <w:jc w:val="center"/>
              <w:rPr>
                <w:rFonts w:ascii="Times New Roman" w:hAnsi="Times New Roman"/>
                <w:color w:val="000000"/>
                <w:szCs w:val="28"/>
              </w:rPr>
            </w:pPr>
            <w:r w:rsidRPr="00DA4BFF">
              <w:rPr>
                <w:rFonts w:ascii="Times New Roman" w:hAnsi="Times New Roman"/>
                <w:color w:val="000000"/>
                <w:szCs w:val="28"/>
              </w:rPr>
              <w:t>9.</w:t>
            </w:r>
          </w:p>
        </w:tc>
        <w:tc>
          <w:tcPr>
            <w:tcW w:w="3402" w:type="dxa"/>
          </w:tcPr>
          <w:p w:rsidR="007E149F" w:rsidRPr="00DA4BFF" w:rsidRDefault="00445E8A">
            <w:pPr>
              <w:pBdr>
                <w:top w:val="nil"/>
                <w:left w:val="nil"/>
                <w:bottom w:val="nil"/>
                <w:right w:val="nil"/>
                <w:between w:val="nil"/>
              </w:pBdr>
              <w:tabs>
                <w:tab w:val="left" w:pos="540"/>
              </w:tabs>
              <w:spacing w:line="360" w:lineRule="auto"/>
              <w:ind w:left="0" w:hanging="3"/>
              <w:rPr>
                <w:rFonts w:ascii="Times New Roman" w:hAnsi="Times New Roman"/>
                <w:color w:val="000000"/>
                <w:szCs w:val="28"/>
              </w:rPr>
            </w:pPr>
            <w:r w:rsidRPr="00DA4BFF">
              <w:rPr>
                <w:rFonts w:ascii="Times New Roman" w:hAnsi="Times New Roman"/>
                <w:color w:val="000000"/>
                <w:szCs w:val="28"/>
              </w:rPr>
              <w:t>Обсяг фінансових ресурсів на виконання програм місцевого бюджету, грн.</w:t>
            </w:r>
          </w:p>
        </w:tc>
        <w:tc>
          <w:tcPr>
            <w:tcW w:w="5494" w:type="dxa"/>
          </w:tcPr>
          <w:p w:rsidR="007E149F" w:rsidRDefault="007E149F">
            <w:pPr>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highlight w:val="yellow"/>
              </w:rPr>
            </w:pPr>
          </w:p>
        </w:tc>
      </w:tr>
    </w:tbl>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7E149F">
      <w:pPr>
        <w:pBdr>
          <w:top w:val="nil"/>
          <w:left w:val="nil"/>
          <w:bottom w:val="nil"/>
          <w:right w:val="nil"/>
          <w:between w:val="nil"/>
        </w:pBdr>
        <w:tabs>
          <w:tab w:val="left" w:pos="540"/>
        </w:tabs>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 xml:space="preserve">АНАЛІЗ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стану соціального, економічного та культурного розвитку Боярської міської територіальної громади  за 9 місяців 2025 року</w:t>
      </w:r>
    </w:p>
    <w:p w:rsidR="007E149F" w:rsidRDefault="007E149F">
      <w:pPr>
        <w:pBdr>
          <w:top w:val="nil"/>
          <w:left w:val="nil"/>
          <w:bottom w:val="nil"/>
          <w:right w:val="nil"/>
          <w:between w:val="nil"/>
        </w:pBdr>
        <w:spacing w:line="36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 xml:space="preserve">Розвитку мікро, малого та середнього підприємництва </w:t>
      </w:r>
    </w:p>
    <w:p w:rsidR="007E149F" w:rsidRDefault="00445E8A" w:rsidP="00307770">
      <w:pPr>
        <w:pBdr>
          <w:top w:val="nil"/>
          <w:left w:val="nil"/>
          <w:bottom w:val="nil"/>
          <w:right w:val="nil"/>
          <w:between w:val="nil"/>
        </w:pBdr>
        <w:spacing w:after="210"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прослідковується позитивна тенденція розвитку підприємництва в громаді, активізація бізнесу та зростання надходжень до бюджетів всіх рівнів, що може покращити фінансову спроможність громади та створити умови для подальшого соціально-економічного розвитку.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таблиці наведені показники щодо суб’єктів господарювання відповідно даних Головного Управління Державної податкової служби у Київській області станом на 01.10.2025 в порівнянні  з аналогічним періодом 2024 року:</w:t>
      </w:r>
    </w:p>
    <w:tbl>
      <w:tblPr>
        <w:tblStyle w:val="aff0"/>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
        <w:gridCol w:w="3464"/>
        <w:gridCol w:w="1999"/>
        <w:gridCol w:w="1999"/>
        <w:gridCol w:w="2000"/>
      </w:tblGrid>
      <w:tr w:rsidR="007E149F">
        <w:tc>
          <w:tcPr>
            <w:tcW w:w="534"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w:t>
            </w:r>
          </w:p>
        </w:tc>
        <w:tc>
          <w:tcPr>
            <w:tcW w:w="3464"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Показники</w:t>
            </w:r>
          </w:p>
        </w:tc>
        <w:tc>
          <w:tcPr>
            <w:tcW w:w="1999"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2024</w:t>
            </w:r>
          </w:p>
        </w:tc>
        <w:tc>
          <w:tcPr>
            <w:tcW w:w="1999"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2025</w:t>
            </w:r>
          </w:p>
        </w:tc>
        <w:tc>
          <w:tcPr>
            <w:tcW w:w="2000"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Відхилення (+,-)</w:t>
            </w:r>
          </w:p>
        </w:tc>
      </w:tr>
      <w:tr w:rsidR="007E149F">
        <w:tc>
          <w:tcPr>
            <w:tcW w:w="534"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w:t>
            </w:r>
          </w:p>
        </w:tc>
        <w:tc>
          <w:tcPr>
            <w:tcW w:w="3464"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Зареєстровано суб’єктів підприємницької діяльності, одиниць</w:t>
            </w:r>
          </w:p>
        </w:tc>
        <w:tc>
          <w:tcPr>
            <w:tcW w:w="199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7790</w:t>
            </w:r>
          </w:p>
        </w:tc>
        <w:tc>
          <w:tcPr>
            <w:tcW w:w="199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7998</w:t>
            </w:r>
          </w:p>
        </w:tc>
        <w:tc>
          <w:tcPr>
            <w:tcW w:w="2000"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+208</w:t>
            </w:r>
          </w:p>
        </w:tc>
      </w:tr>
      <w:tr w:rsidR="007E149F">
        <w:tc>
          <w:tcPr>
            <w:tcW w:w="534" w:type="dxa"/>
            <w:shd w:val="clear" w:color="auto" w:fill="D9D9D9"/>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юридичні особи</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3298</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3342</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+44</w:t>
            </w:r>
          </w:p>
        </w:tc>
      </w:tr>
      <w:tr w:rsidR="007E149F">
        <w:tc>
          <w:tcPr>
            <w:tcW w:w="534" w:type="dxa"/>
            <w:shd w:val="clear" w:color="auto" w:fill="D9D9D9"/>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фізичні особи</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4492</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4656</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+164</w:t>
            </w:r>
          </w:p>
        </w:tc>
      </w:tr>
      <w:tr w:rsidR="007E149F">
        <w:tc>
          <w:tcPr>
            <w:tcW w:w="534"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Із загальної кількості зареєстрованих</w:t>
            </w:r>
          </w:p>
        </w:tc>
        <w:tc>
          <w:tcPr>
            <w:tcW w:w="1999"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1999"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2000" w:type="dxa"/>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r>
      <w:tr w:rsidR="007E149F">
        <w:tc>
          <w:tcPr>
            <w:tcW w:w="534" w:type="dxa"/>
            <w:shd w:val="clear" w:color="auto" w:fill="auto"/>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мікро</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7666</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7861</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+195</w:t>
            </w:r>
          </w:p>
        </w:tc>
      </w:tr>
      <w:tr w:rsidR="007E149F">
        <w:tc>
          <w:tcPr>
            <w:tcW w:w="534" w:type="dxa"/>
            <w:shd w:val="clear" w:color="auto" w:fill="auto"/>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малі</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77</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83</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+6</w:t>
            </w:r>
          </w:p>
        </w:tc>
      </w:tr>
      <w:tr w:rsidR="007E149F">
        <w:tc>
          <w:tcPr>
            <w:tcW w:w="534" w:type="dxa"/>
            <w:shd w:val="clear" w:color="auto" w:fill="auto"/>
          </w:tcPr>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3464"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середні</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47</w:t>
            </w:r>
          </w:p>
        </w:tc>
        <w:tc>
          <w:tcPr>
            <w:tcW w:w="1999"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54</w:t>
            </w:r>
          </w:p>
        </w:tc>
        <w:tc>
          <w:tcPr>
            <w:tcW w:w="2000" w:type="dxa"/>
            <w:shd w:val="clear" w:color="auto" w:fill="D9D9D9"/>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+7</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Кількість суб`єктів підприємницької діяльності, які сплачують податки, одиниць</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3668</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3858</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+190</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Загальна кількість прибуткових підприємств загалом по регіону, одиниць</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2775</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2922</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+147</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4</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Загальна кількість збиткових підприємств загалом по регіону, одиниць</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73</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72</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w:t>
            </w:r>
          </w:p>
        </w:tc>
      </w:tr>
      <w:tr w:rsidR="007E149F">
        <w:tc>
          <w:tcPr>
            <w:tcW w:w="53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lastRenderedPageBreak/>
              <w:t>5</w:t>
            </w:r>
          </w:p>
        </w:tc>
        <w:tc>
          <w:tcPr>
            <w:tcW w:w="3464"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Надходження до бюджетів всіх рівнів, млн.грн.</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892,0</w:t>
            </w:r>
          </w:p>
        </w:tc>
        <w:tc>
          <w:tcPr>
            <w:tcW w:w="1999"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1192,8</w:t>
            </w:r>
          </w:p>
        </w:tc>
        <w:tc>
          <w:tcPr>
            <w:tcW w:w="2000" w:type="dxa"/>
            <w:shd w:val="clear" w:color="auto" w:fill="FFFFFF"/>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300,80</w:t>
            </w:r>
          </w:p>
        </w:tc>
      </w:tr>
    </w:tbl>
    <w:p w:rsidR="007E149F" w:rsidRDefault="007E149F">
      <w:pPr>
        <w:pBdr>
          <w:top w:val="nil"/>
          <w:left w:val="nil"/>
          <w:bottom w:val="nil"/>
          <w:right w:val="nil"/>
          <w:between w:val="nil"/>
        </w:pBdr>
        <w:spacing w:after="210" w:line="360" w:lineRule="auto"/>
        <w:ind w:hanging="2"/>
        <w:rPr>
          <w:rFonts w:ascii="Inter" w:eastAsia="Inter" w:hAnsi="Inter" w:cs="Inter"/>
          <w:color w:val="000000"/>
          <w:sz w:val="21"/>
          <w:szCs w:val="21"/>
        </w:rPr>
      </w:pPr>
    </w:p>
    <w:p w:rsidR="007E149F" w:rsidRDefault="00445E8A" w:rsidP="00307770">
      <w:pPr>
        <w:pBdr>
          <w:top w:val="nil"/>
          <w:left w:val="nil"/>
          <w:bottom w:val="nil"/>
          <w:right w:val="nil"/>
          <w:between w:val="nil"/>
        </w:pBdr>
        <w:spacing w:after="210"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Аналіз показників свідчить про наступне:</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Загальна кількість зареєстрованих суб’єктів підприємницької діяльності зросла на 208 одиниць (+2,7%), що свідчить про помірний розвиток бізнес-середовища в громаді. З них приріст відбувся переважно за рахунок фізичних осіб (+164), а також мікропідприємств (+195).</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Кількість бізнесів, які сплачують податки, збільшилася на 190 одиниць, що є позитивним сигналом для бюджету громади та підвищення платоспроможності бізнесу.</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Загальна кількість прибуткових підприємств зросла на 147, а збиткових залишилась практично стабільною (-1), що свідчить про покращення фінансового стану бізнесів.</w:t>
      </w:r>
    </w:p>
    <w:p w:rsidR="007E149F" w:rsidRDefault="00445E8A">
      <w:pPr>
        <w:numPr>
          <w:ilvl w:val="0"/>
          <w:numId w:val="19"/>
        </w:numPr>
        <w:pBdr>
          <w:top w:val="nil"/>
          <w:left w:val="nil"/>
          <w:bottom w:val="nil"/>
          <w:right w:val="nil"/>
          <w:between w:val="nil"/>
        </w:pBdr>
        <w:spacing w:before="105" w:after="105" w:line="360" w:lineRule="auto"/>
        <w:ind w:left="0" w:hanging="3"/>
        <w:jc w:val="both"/>
        <w:rPr>
          <w:rFonts w:ascii="Times New Roman" w:hAnsi="Times New Roman"/>
          <w:color w:val="000000"/>
          <w:szCs w:val="28"/>
        </w:rPr>
      </w:pPr>
      <w:r>
        <w:rPr>
          <w:rFonts w:ascii="Times New Roman" w:hAnsi="Times New Roman"/>
          <w:color w:val="000000"/>
          <w:szCs w:val="28"/>
        </w:rPr>
        <w:t>Надходження до бюджетів всіх рівнів зросли суттєво — на 300,8 млн грн (понад 33%), що є дуже добрим показником ефективності бюджетної політики та активності бізнесу.</w:t>
      </w:r>
    </w:p>
    <w:p w:rsidR="007E149F" w:rsidRDefault="00445E8A" w:rsidP="00307770">
      <w:pPr>
        <w:pBdr>
          <w:top w:val="nil"/>
          <w:left w:val="nil"/>
          <w:bottom w:val="nil"/>
          <w:right w:val="nil"/>
          <w:between w:val="nil"/>
        </w:pBdr>
        <w:spacing w:after="210"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період з 11 березня по 30 квітня  2025 р спеціалісти відділу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 пройшли навчання за програмою «Удосконалення бізнес-середовища територіальної громади» від Програми “U-LEAD з Європою”. У ході навчання було проведено детальний аналіз реального стану бізнес-середовища в громаді та розроблено ефективні інструменти для налагодження продуктивної співпраці між місцевою владою та бізнесом. За результатами проведеного аналізу загальний індекс економічних показників громади становив 2,6 із можливих 4, що свідчить про наявний потенціал для подальшого розвитку та покращення бізнес-клімату.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У 2025 році на базі Управління «ЦНАП» виконавчого комітету Боярської міської ради створено та діє консультаційний пункт для підтримки бізнесу. Дана ініціатива реалізується за підтримки Центру розвитку ініціатив «ІнСорс» за сприяння Програми розвитку ООН (ПРООН) в Україні у рамках проєкту «Створення та розвиток консультаційних пунктів для бізнесу у Вінницькій, Київській, Тернопільській та Харківській областях» та фінансової підтримки Уряду Японії, наданої в межах проєкту «Трансформаційне відновлення задля безпеки людей в Україні». Дана співпраця сприятиме розвитку підприємництва та підтримці місцевого бізнесу.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 через даний пункт надано консультацій 12 суб’єктам підприємницької діяльності.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виконавчим комітетом погоджено на здійснення виїзної (виносної) торгівлі 18 ФОП та 2 ТОВ. За вказаний період суб’єктами господарювання сплачено коштів до місцевого бюджету за користування місцем, де здійснюється виїзна (виносна) торгівля на загальну суму 86,4 тис.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Це свідчать про активну участь місцевих підприємців у розвитку виїзної торгівлі, що сприяє підтримці економіки громади. Подальше заохочення та контроль цієї діяльності допоможе забезпечити стабільне надходження до бюджету та покращення умов для малого бізнесу</w:t>
      </w:r>
    </w:p>
    <w:p w:rsidR="007E149F" w:rsidRDefault="00445E8A" w:rsidP="00307770">
      <w:pPr>
        <w:pBdr>
          <w:top w:val="nil"/>
          <w:left w:val="nil"/>
          <w:bottom w:val="nil"/>
          <w:right w:val="nil"/>
          <w:between w:val="nil"/>
        </w:pBdr>
        <w:spacing w:line="360" w:lineRule="auto"/>
        <w:ind w:leftChars="0" w:left="0" w:firstLineChars="202" w:firstLine="566"/>
        <w:jc w:val="both"/>
        <w:rPr>
          <w:rFonts w:ascii="Inter" w:eastAsia="Inter" w:hAnsi="Inter" w:cs="Inter"/>
          <w:color w:val="000000"/>
          <w:szCs w:val="28"/>
        </w:rPr>
      </w:pPr>
      <w:r>
        <w:rPr>
          <w:rFonts w:ascii="Times New Roman" w:hAnsi="Times New Roman"/>
          <w:color w:val="000000"/>
          <w:szCs w:val="28"/>
        </w:rPr>
        <w:t xml:space="preserve">За даними Економічного профайлу «VKURSI.PRO» на територію громади перемістилися 4 підприємства (за період з 2019 року по теперішній час), що </w:t>
      </w:r>
      <w:r>
        <w:rPr>
          <w:szCs w:val="28"/>
        </w:rPr>
        <w:t>свідчить про зростаючу привабливість території громади для бізнесу. Це позитивний показник, що відображає сприятливі умови для розвитку підприємництва та потенційне збільшення інвестицій, що може сприяти створенню нових робочих місць і підвищенню економічної активності в громаді.</w:t>
      </w:r>
      <w:r>
        <w:rPr>
          <w:rFonts w:ascii="Inter" w:eastAsia="Inter" w:hAnsi="Inter" w:cs="Inter"/>
          <w:color w:val="000000"/>
          <w:szCs w:val="28"/>
        </w:rPr>
        <w:t xml:space="preserve">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Регуляторна діяльність</w:t>
      </w:r>
    </w:p>
    <w:p w:rsidR="007E149F" w:rsidRDefault="00445E8A" w:rsidP="00307770">
      <w:pPr>
        <w:pBdr>
          <w:top w:val="nil"/>
          <w:left w:val="nil"/>
          <w:bottom w:val="nil"/>
          <w:right w:val="nil"/>
          <w:between w:val="nil"/>
        </w:pBdr>
        <w:tabs>
          <w:tab w:val="left" w:pos="6660"/>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виконання вимог статті  7 Закону України «Про засади державної регуляторної політики у сфері господарської діяльності», на підставі пропозицій структурних підрозділів виконавчого комітету Боярської міської ради, рішенням Боярської міської ради від 21 листопада 2024 року № 59/3324</w:t>
      </w:r>
      <w:r>
        <w:rPr>
          <w:rFonts w:ascii="Times New Roman" w:hAnsi="Times New Roman"/>
          <w:b/>
          <w:bCs/>
          <w:color w:val="000000"/>
          <w:szCs w:val="28"/>
        </w:rPr>
        <w:t xml:space="preserve"> </w:t>
      </w:r>
      <w:r>
        <w:rPr>
          <w:rFonts w:ascii="Times New Roman" w:hAnsi="Times New Roman"/>
          <w:color w:val="000000"/>
          <w:szCs w:val="28"/>
        </w:rPr>
        <w:t xml:space="preserve">було затверджено </w:t>
      </w:r>
      <w:r>
        <w:rPr>
          <w:rFonts w:ascii="Times New Roman" w:hAnsi="Times New Roman"/>
          <w:color w:val="000000"/>
          <w:szCs w:val="28"/>
        </w:rPr>
        <w:lastRenderedPageBreak/>
        <w:t xml:space="preserve">План діяльності з підготовки проєктів регуляторних актів на 2025 рік (далі – План діяльності), до якого внесені зміни рішенням від 10 квітня 2025 року № 67/3633, 05 червня 2025 року № 69/3760 та від 21 листопада 2024 року №59/3324.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січня-вересня 2025 року з урахуванням вищевказаних норм законодавства було прийнято наступні рішення: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Рішення № 70/3897 від 10 липня 2025 року «Про встановлення ставок та пільг із сплати земельного податку на території Боярської міської територіальної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Рішення № 2/4 від 24 липня 2025 року «Про встановлення вартості проїзду на міських регулярних маршрутах загального користування в м. Боярка».</w:t>
      </w:r>
    </w:p>
    <w:p w:rsidR="007E149F" w:rsidRDefault="00445E8A" w:rsidP="00307770">
      <w:pPr>
        <w:pBdr>
          <w:top w:val="nil"/>
          <w:left w:val="nil"/>
          <w:bottom w:val="nil"/>
          <w:right w:val="nil"/>
          <w:between w:val="nil"/>
        </w:pBdr>
        <w:tabs>
          <w:tab w:val="left" w:pos="0"/>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Рішення виконавчого комітету Боярської міської ради № 2/4 від 24 липня 2025 року «Про встановлення вартості проїзду на міських регулярних маршрутах загального користування в м. Боярка.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Дія регуляторних актів забезпечила надходження місцевих податків до бюджету громади:</w:t>
      </w:r>
    </w:p>
    <w:tbl>
      <w:tblPr>
        <w:tblStyle w:val="aff1"/>
        <w:tblW w:w="939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5"/>
        <w:gridCol w:w="2878"/>
        <w:gridCol w:w="2128"/>
        <w:gridCol w:w="1672"/>
        <w:gridCol w:w="2055"/>
      </w:tblGrid>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Назва податку</w:t>
            </w:r>
          </w:p>
        </w:tc>
        <w:tc>
          <w:tcPr>
            <w:tcW w:w="212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9 міс.2024, тис.грн.</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9 міс.2025, тис.грн.</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Відхилення 9 міс. 2025 до 9 міс. 2024, +/-</w:t>
            </w:r>
          </w:p>
        </w:tc>
      </w:tr>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Єдиний податок</w:t>
            </w:r>
          </w:p>
        </w:tc>
        <w:tc>
          <w:tcPr>
            <w:tcW w:w="212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112 505,40</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129320,20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+16814,80</w:t>
            </w:r>
          </w:p>
        </w:tc>
      </w:tr>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2</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Податку на нерухоме майно</w:t>
            </w:r>
          </w:p>
        </w:tc>
        <w:tc>
          <w:tcPr>
            <w:tcW w:w="2128" w:type="dxa"/>
          </w:tcPr>
          <w:p w:rsidR="007E149F" w:rsidRDefault="00445E8A" w:rsidP="00307770">
            <w:pPr>
              <w:pBdr>
                <w:top w:val="nil"/>
                <w:left w:val="nil"/>
                <w:bottom w:val="nil"/>
                <w:right w:val="nil"/>
                <w:between w:val="nil"/>
              </w:pBdr>
              <w:spacing w:before="240" w:after="240"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15 438,6</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18738,60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+3300,00</w:t>
            </w:r>
          </w:p>
        </w:tc>
      </w:tr>
      <w:tr w:rsidR="007E149F">
        <w:tc>
          <w:tcPr>
            <w:tcW w:w="66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3</w:t>
            </w: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Земельний податок</w:t>
            </w:r>
          </w:p>
        </w:tc>
        <w:tc>
          <w:tcPr>
            <w:tcW w:w="212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29 255,40</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35056,30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color w:val="000000"/>
                <w:sz w:val="24"/>
                <w:szCs w:val="24"/>
              </w:rPr>
              <w:t>+5800,90</w:t>
            </w:r>
          </w:p>
        </w:tc>
      </w:tr>
      <w:tr w:rsidR="007E149F">
        <w:tc>
          <w:tcPr>
            <w:tcW w:w="665" w:type="dxa"/>
          </w:tcPr>
          <w:p w:rsidR="007E149F" w:rsidRDefault="007E149F"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p>
        </w:tc>
        <w:tc>
          <w:tcPr>
            <w:tcW w:w="2878"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Всього</w:t>
            </w:r>
          </w:p>
        </w:tc>
        <w:tc>
          <w:tcPr>
            <w:tcW w:w="2128" w:type="dxa"/>
          </w:tcPr>
          <w:p w:rsidR="007E149F" w:rsidRDefault="00445E8A" w:rsidP="00307770">
            <w:pPr>
              <w:pBdr>
                <w:top w:val="nil"/>
                <w:left w:val="nil"/>
                <w:bottom w:val="nil"/>
                <w:right w:val="nil"/>
                <w:between w:val="nil"/>
              </w:pBdr>
              <w:spacing w:after="200" w:line="276"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15 7199,40</w:t>
            </w:r>
          </w:p>
        </w:tc>
        <w:tc>
          <w:tcPr>
            <w:tcW w:w="1672"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183115,10</w:t>
            </w:r>
          </w:p>
        </w:tc>
        <w:tc>
          <w:tcPr>
            <w:tcW w:w="2055" w:type="dxa"/>
          </w:tcPr>
          <w:p w:rsidR="007E149F" w:rsidRDefault="00445E8A" w:rsidP="00307770">
            <w:pPr>
              <w:pBdr>
                <w:top w:val="nil"/>
                <w:left w:val="nil"/>
                <w:bottom w:val="nil"/>
                <w:right w:val="nil"/>
                <w:between w:val="nil"/>
              </w:pBdr>
              <w:spacing w:line="240" w:lineRule="auto"/>
              <w:ind w:leftChars="0" w:firstLineChars="202" w:firstLine="485"/>
              <w:jc w:val="center"/>
              <w:rPr>
                <w:rFonts w:ascii="Times New Roman" w:hAnsi="Times New Roman"/>
                <w:color w:val="000000"/>
                <w:sz w:val="24"/>
                <w:szCs w:val="24"/>
              </w:rPr>
            </w:pPr>
            <w:r>
              <w:rPr>
                <w:rFonts w:ascii="Times New Roman" w:hAnsi="Times New Roman"/>
                <w:b/>
                <w:bCs/>
                <w:i/>
                <w:iCs/>
                <w:color w:val="000000"/>
                <w:sz w:val="24"/>
                <w:szCs w:val="24"/>
              </w:rPr>
              <w:t>+25915,70</w:t>
            </w:r>
          </w:p>
        </w:tc>
      </w:tr>
    </w:tbl>
    <w:p w:rsidR="007E149F" w:rsidRDefault="007E149F" w:rsidP="00307770">
      <w:pPr>
        <w:pBdr>
          <w:top w:val="nil"/>
          <w:left w:val="nil"/>
          <w:bottom w:val="nil"/>
          <w:right w:val="nil"/>
          <w:between w:val="nil"/>
        </w:pBdr>
        <w:spacing w:line="360" w:lineRule="auto"/>
        <w:ind w:leftChars="0" w:left="0" w:firstLineChars="202" w:firstLine="566"/>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промислового потенціалу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даними Економічного профайлу «VKURSI.PRO» станом на 01.10.2025 року в Боярській МТГ зареєстровано 461 суб’єкт господарювання, з них: 183 юридичні особи; 278 фізичні особи – підприємці (ФОП). Ці суб’єкти здійснюють діяльність у секторах добувної та переробної промисловості (КВЕД 05–33). Порівняно з аналогічним періодом 2024 року, загальна кількість суб’єктів господарювання збільшилася, що свідчить про збереження економічної активності в громаді.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За даними Управління фінансів Боярської міської ради перелік провідних підприємств громади які, мають значний вплив на економіку громади через сплату податків ПДФО та забезпечення зайнятості наступний:</w:t>
      </w:r>
    </w:p>
    <w:p w:rsidR="007E149F"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«Вентиляційні системи» (ЄДРПОУ 30637114)</w:t>
      </w:r>
    </w:p>
    <w:p w:rsidR="007E149F"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highlight w:val="white"/>
        </w:rPr>
        <w:t>Київська філія ТОВ «Газорозподільні мережі України» (</w:t>
      </w:r>
      <w:r>
        <w:rPr>
          <w:rFonts w:ascii="Times New Roman" w:hAnsi="Times New Roman"/>
          <w:color w:val="000000"/>
          <w:szCs w:val="28"/>
        </w:rPr>
        <w:t>ЄДРПОУ</w:t>
      </w:r>
      <w:r>
        <w:rPr>
          <w:rFonts w:ascii="Times New Roman" w:hAnsi="Times New Roman"/>
          <w:color w:val="000000"/>
          <w:szCs w:val="28"/>
          <w:highlight w:val="white"/>
        </w:rPr>
        <w:t xml:space="preserve"> 45385755)</w:t>
      </w:r>
    </w:p>
    <w:p w:rsidR="007E149F"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rPr>
        <w:t>Виробниче ремонтно-технічне підприємство «Укргазенергосервіс» (ЄДРПОУ 00156127)</w:t>
      </w:r>
    </w:p>
    <w:p w:rsidR="00307770"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«Оператор газотранспортних систем України» (ЄДРПОУ 42795490)</w:t>
      </w:r>
      <w:r w:rsidR="00307770">
        <w:rPr>
          <w:rFonts w:ascii="Times New Roman" w:hAnsi="Times New Roman"/>
          <w:color w:val="000000"/>
          <w:szCs w:val="28"/>
        </w:rPr>
        <w:t xml:space="preserve"> </w:t>
      </w:r>
    </w:p>
    <w:p w:rsidR="007E149F" w:rsidRPr="00307770" w:rsidRDefault="00445E8A" w:rsidP="00307770">
      <w:pPr>
        <w:numPr>
          <w:ilvl w:val="0"/>
          <w:numId w:val="15"/>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МПП Фірма «ЕРІДОН» (ЄДРПОУ 19420704)</w:t>
      </w:r>
    </w:p>
    <w:p w:rsidR="007E149F" w:rsidRDefault="00445E8A" w:rsidP="00307770">
      <w:pPr>
        <w:numPr>
          <w:ilvl w:val="0"/>
          <w:numId w:val="16"/>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«ЕРГОПАК» (ЄДРПОУ 31364122)</w:t>
      </w:r>
    </w:p>
    <w:p w:rsidR="007E149F" w:rsidRDefault="00445E8A" w:rsidP="00307770">
      <w:pPr>
        <w:numPr>
          <w:ilvl w:val="0"/>
          <w:numId w:val="16"/>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Філія "УПРАВЛІННЯ "УКРГАЗТЕХЗВ'ЯЗОК" Акціонерного товариства "УКРТРАНСГАЗ" (ЄДРПОУ 00154453)</w:t>
      </w:r>
    </w:p>
    <w:p w:rsidR="007E149F" w:rsidRDefault="00445E8A" w:rsidP="00307770">
      <w:pPr>
        <w:numPr>
          <w:ilvl w:val="0"/>
          <w:numId w:val="16"/>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ТОВ «СІЛЬПО-ФУД» (ЄДРПОУ 40720198)</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Рішенням Боярської міської ради від 10.04.2025 № 67/3638 затверджено концепцію індустріального парку "Боярка", від 05.06.2025 № 69/3765 прийнято рішення про створення індустріального парку "Боярка».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до виконавчого комітету Боярської міської ради не надходили офіційні звернення від промислових підприємств щодо проблем, які потребують вирішення на місцевому, регіональному чи державному рівнях. Це свідчить про стабільну роботу промислового комплексу та відсутність критичних викликів у звітному періоді.</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сільськогосподарського виробництва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громаді функціонує 4 сільськогосподарських підприємства, це ФГ «ПЛАЙ» с.Новосілки, ТОВ «АГРОФІРМА КНЯЖИЧІ» с.Княжичі, ТОВ «САД ЕЛІТ ПРОДУКТ» с.Тарасівка, Агро Холдинг МС с.Забіря, орендують паї та ФОП Лук’яненко Любов Олегівна с.Жорнівка.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Станом на 01.10.2025 року підприємства проводять збір врожаю. За наданою інформацією на даний час зібрали пшеницю, ячмінь, соняшник.</w:t>
      </w:r>
    </w:p>
    <w:p w:rsidR="007E149F" w:rsidRDefault="007E149F"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Споживчий ринок</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eastAsia="Inter" w:hAnsi="Times New Roman"/>
          <w:color w:val="000000"/>
          <w:szCs w:val="28"/>
        </w:rPr>
      </w:pPr>
      <w:r w:rsidRPr="00307770">
        <w:rPr>
          <w:rFonts w:ascii="Times New Roman" w:eastAsia="Inter" w:hAnsi="Times New Roman"/>
          <w:color w:val="000000"/>
          <w:szCs w:val="28"/>
        </w:rPr>
        <w:t>Споживчий ринок громади характеризується стабільним попитом на різноманітні товари та послуги, що створює сприятливі умови для розвитку малого та середнього бізнесу. Активну участь у формуванні ринку відіграють такі торговельні мережі, як «АТБ-Маркет», «ФОРА», «СІЛЬПО», «ЕПІЦЕНТР», «БАДЬОРИЙ!», «ПЧІЛКА» та «КУЛИНИЧІ», які забезпечують широкий асортимент товарів і високий рівень обслуговування. Посилення конкуренції між цими мережами сприяє підвищенню якості сервісу та розширенню вибору для споживачів, що в цілому стимулює економічне зростання громади та підтримує стабільність бізнес-середовища.</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Спеціалісти відділу економічного аналізу та стратегічного планування управління міжнародного співробітництва, економічного аналізу та стратегічних комунікацій виконавчого комітету Боярської міської ради </w:t>
      </w:r>
      <w:r w:rsidRPr="00307770">
        <w:rPr>
          <w:rFonts w:ascii="Times New Roman" w:eastAsia="Inter" w:hAnsi="Times New Roman"/>
          <w:color w:val="000000"/>
          <w:szCs w:val="28"/>
        </w:rPr>
        <w:t>щотижнево здійснюється моніторинг цін на основні продукти харчування. У порівнянні з 2024 роком ціни зросли приблизно на 20–25%, а в порівнянні з 2022 роком — майже на 50–60%. Значне подорожчання відбулося у таких категоріях, як яйця, м’ясо, хліб та соняшникова олія, що обумовлено як загальною інфляцією, так і впливом факторів енергетичної нестабільності. Такий рівень зростання цін створює виклики для споживачів та підкреслює необхідність подальшого моніторингу і підтримки соціально-економічної стабільності громади.</w:t>
      </w:r>
    </w:p>
    <w:p w:rsidR="007E149F" w:rsidRPr="00307770" w:rsidRDefault="007E149F"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p>
    <w:p w:rsidR="007E149F" w:rsidRPr="00307770"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sidRPr="00307770">
        <w:rPr>
          <w:rFonts w:ascii="Times New Roman" w:hAnsi="Times New Roman"/>
          <w:b/>
          <w:bCs/>
          <w:color w:val="000000"/>
          <w:szCs w:val="28"/>
        </w:rPr>
        <w:t>Надходження до бюджету</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За 9 місяців 2025 року </w:t>
      </w:r>
      <w:r w:rsidRPr="00307770">
        <w:rPr>
          <w:rFonts w:ascii="Times New Roman" w:hAnsi="Times New Roman"/>
          <w:b/>
          <w:bCs/>
          <w:color w:val="000000"/>
          <w:szCs w:val="28"/>
        </w:rPr>
        <w:t>виконання доходної частини</w:t>
      </w:r>
      <w:r w:rsidRPr="00307770">
        <w:rPr>
          <w:rFonts w:ascii="Times New Roman" w:hAnsi="Times New Roman"/>
          <w:color w:val="000000"/>
          <w:szCs w:val="28"/>
        </w:rPr>
        <w:t xml:space="preserve"> бюджету Боярської міської територіальної громади забезпечено в сумі 999 054 503,06 грн, що становить 97,5 відсотка до уточнених  показників на звітний період, у тому числі доходи загального фонду виконані в сумі 963 802 673,35 грн, що становить 101,0 </w:t>
      </w:r>
      <w:r w:rsidRPr="00307770">
        <w:rPr>
          <w:rFonts w:ascii="Times New Roman" w:hAnsi="Times New Roman"/>
          <w:color w:val="000000"/>
          <w:szCs w:val="28"/>
        </w:rPr>
        <w:lastRenderedPageBreak/>
        <w:t>відсоток до планових  показників, спеціального фонду – 35 251 829,71 грн, або 50,2 відсотків до запланованого на рік.</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Станом на 01.10.2025 року до загального фонду бюджету громади надійшло податків і зборів 646 399 833,58 грн, або 102,0 відсотка до плану. В порівнянні з відповідним періодом минулого року надходження збільшилися на 123 293 475,92 грн, або більше на 23,6 відсотків.</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Основним джерелом наповнення бюджету громади є податок на доходи фізичних осіб, відрахування по якому становить 64 відсотка від сум, сплачених на території громади. У загальному обсязі надходжень податок на доходи фізичних осіб складає 60,3 відсотка. При плані 379 070 128,00 грн фактично надійшло 389 776 819,30 грн, або 102,8 відсотка до запланованого. В порівнянні з аналогічним періодом минулого року надходження зазначеного податку збільшились на 76 191 826,83 грн, або на </w:t>
      </w:r>
      <w:r w:rsidRPr="00307770">
        <w:rPr>
          <w:rFonts w:ascii="Times New Roman" w:hAnsi="Times New Roman"/>
          <w:color w:val="000000"/>
          <w:szCs w:val="28"/>
          <w:highlight w:val="white"/>
        </w:rPr>
        <w:t xml:space="preserve">24,3 </w:t>
      </w:r>
      <w:r w:rsidRPr="00307770">
        <w:rPr>
          <w:rFonts w:ascii="Times New Roman" w:hAnsi="Times New Roman"/>
          <w:color w:val="000000"/>
          <w:szCs w:val="28"/>
        </w:rPr>
        <w:t xml:space="preserve">відсотка.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У загальному обсязі надходжень місцеві податки та збори складають 28,4 відсотка, яких надійшло 183 428 474,54 грн при плані 180 972 960,00 грн.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Коштів за рахунок субвенцій та дотацій з державного та місцевих бюджетів до загального фонду бюджету громади надійшло 317 402 839,77 грн, або 77,3 відсотка до запланованого на рік, до спеціального фонду бюджету громади надійшло 2 932 300,00 грн та спрямовано головним розпорядникам коштів для використання за цільовим призначенням.</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За 9 місяців 2025 року </w:t>
      </w:r>
      <w:r w:rsidRPr="00307770">
        <w:rPr>
          <w:rFonts w:ascii="Times New Roman" w:hAnsi="Times New Roman"/>
          <w:b/>
          <w:bCs/>
          <w:color w:val="000000"/>
          <w:szCs w:val="28"/>
        </w:rPr>
        <w:t>виконання видаткової частини</w:t>
      </w:r>
      <w:r w:rsidRPr="00307770">
        <w:rPr>
          <w:rFonts w:ascii="Times New Roman" w:hAnsi="Times New Roman"/>
          <w:color w:val="000000"/>
          <w:szCs w:val="28"/>
        </w:rPr>
        <w:t xml:space="preserve"> бюджету громади забезпечено в сумі 820 971 908,55 грн, у тому числі: видатки загального фонду – 713 890 294,93 грн, спеціального фонду – 107 081 613,62 грн.</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В розрізі галузей </w:t>
      </w:r>
      <w:r w:rsidRPr="00307770">
        <w:rPr>
          <w:rFonts w:ascii="Times New Roman" w:hAnsi="Times New Roman"/>
          <w:b/>
          <w:bCs/>
          <w:color w:val="000000"/>
          <w:szCs w:val="28"/>
        </w:rPr>
        <w:t>видатки загального фонду бюджету</w:t>
      </w:r>
      <w:r w:rsidRPr="00307770">
        <w:rPr>
          <w:rFonts w:ascii="Times New Roman" w:hAnsi="Times New Roman"/>
          <w:color w:val="000000"/>
          <w:szCs w:val="28"/>
        </w:rPr>
        <w:t xml:space="preserve"> територіальної громади з урахуванням субвенцій з державного бюджету за 9 місяців 2025 року склали: «Освіта» – 356 579 030,14 грн, «Державне управління» – 88 028 726,46 грн, «Міжбюджетні трансферти» – 73 252 892,92 грн (в тому числі: реверсна дотація (кошти, що передаються з місцевих до державного бюджету для горизонтального вирівнювання податкової спроможності територій) – 45 777 600,00 грн; субвенція державному бюджету на соціально-економічний </w:t>
      </w:r>
      <w:r w:rsidRPr="00307770">
        <w:rPr>
          <w:rFonts w:ascii="Times New Roman" w:hAnsi="Times New Roman"/>
          <w:color w:val="000000"/>
          <w:szCs w:val="28"/>
        </w:rPr>
        <w:lastRenderedPageBreak/>
        <w:t>розвиток 23 210 967,92 грн (з них: підтримка ЗСУ – 20 545 967,92 грн, заходи з охорони та безпеки – 2 570 000,00 грн; заходи з контролю та профілактики хвороб - 95 000,00 грн),  «Житлово-комунальне господарство» – 72 506 272,75 грн, «Охорона здоров’я» – 32 599 924,12  грн, «Соціальний захист та соціальне забезпечення» - 29 144 910,57 грн,  «Культура і мистецтво» – 21 082 722,64 грн, «Економічна діяльність» (заходи із землеустрою, заходи у сфері автотранспорту, утримання та розвиток автомобільних доріг та інші заходи пов’язані з економічною діяльністю, реалізація програм і заходів в галузі туризму та курортів, членські внески ) – 19 599 877,49 грн, «Інша діяльність» (заходи із запобігання та ліквідації надзвичайних ситуацій та наслідків стихійного лиха, заходи громадського порядку та безпеки, територіальна оборона, діяльність у сфері екології та охорона природних ресурсів) – 11 499 360,12 грн, «Фізична культура і спорт» - 9 596 577,72 грн.</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Фінансування видатків на оплату праці з нарахуваннями працівників бюджетної сфери за 9 місяців поточного року (без урахування закладів охорони здоров’я та підприємств житлово-комунального господарства) склали 417 317 602,45  грн, оплату комунальних послуг та енергоносіїв – 36 661 433,46 грн, продуктів харчування –  11 829 925,82 грн, що в цілому становить 65,2 відсотків видатків загального фонду. </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За рахунок </w:t>
      </w:r>
      <w:r w:rsidRPr="00307770">
        <w:rPr>
          <w:rFonts w:ascii="Times New Roman" w:hAnsi="Times New Roman"/>
          <w:b/>
          <w:bCs/>
          <w:color w:val="000000"/>
          <w:szCs w:val="28"/>
        </w:rPr>
        <w:t>субвенцій та дотацій з державного та інших місцевих бюджетів</w:t>
      </w:r>
      <w:r w:rsidRPr="00307770">
        <w:rPr>
          <w:rFonts w:ascii="Times New Roman" w:hAnsi="Times New Roman"/>
          <w:color w:val="000000"/>
          <w:szCs w:val="28"/>
        </w:rPr>
        <w:t xml:space="preserve"> (обласного та бюджетів територіальних громад) за 9 місяців 2025 року по загальному фонду профінансовано видатки по головних розпорядниках коштів бюджету територіальної громади для використання за цільовим призначенням  в сумі 317 402 839,70  грн (або 77,3 відсотків до запланованого на рік),  у тому числі:</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освітня субвенція на забезпечення заробітної плати педагогічних працівників закладів загальної середньої освіти - 132 733 200,00 грн; </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субвенція з державного бюджету місцевим бюджетам на реалізацію публічного інвестиційного проекту на облаштування безпечних умов у закладах, що надають загальну середню освіту (облаштування укриттів), зокрема </w:t>
      </w:r>
      <w:r w:rsidRPr="00307770">
        <w:rPr>
          <w:rFonts w:ascii="Times New Roman" w:hAnsi="Times New Roman"/>
          <w:color w:val="000000"/>
          <w:szCs w:val="28"/>
        </w:rPr>
        <w:lastRenderedPageBreak/>
        <w:t>військових (військовоморських, військово-спортивних) ліцеях, ліцеях із посиленою військово-фізичною підготовкою - 117 100 127,00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реалізацію публічного інвестиційного проекту із забезпечення житлом дитячих будинків сімейного типу, дітей-сиріт та дітей, позбавлених батьківського піклування, за рахунок відповідної субвенції з державного бюджету -18 086 174,40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реалізацію публічного інвестиційного проекту на забезпечення якісної, сучасної та доступної загальної середньої освіти «Нова українська школа» - 13 540 200,00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здійснення доплат педагогічним працівникам закладів загальної середньої освіти - 11 302 500,00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реалізацію публічного інвестиційного проекту із виплати грошової компенсації за належні для отримання жилі приміщення для сімей осіб, визначених пунктами 2–5 частини першої статті 10-1 Закону України «Про статус ветеранів війни, гарантії їх соціального захисту», для осіб з інвалідністю I–II групи, яка настала внаслідок поранення, контузії, каліцтва або захворювання, одержаних під час безпосередньої участі в антитерористичній операції, забезпеченні її проведення,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забезпеченні їх здійснення, у заходах, необхідних для забезпечення оборони України, захисту безпеки населення та інтересів держави у зв`язку з військовою агресією Російської Федерації проти України, визначених пунктами 11–14 частини другої статті 7 Закону України «Про статус ветеранів війни, гарантії їх соціального захисту», та які потребують поліпшення житлових умов, за рахунок відповідної субвенції з державного бюджету - 9 632 025,73 грн;</w:t>
      </w:r>
    </w:p>
    <w:p w:rsidR="007E149F" w:rsidRPr="00307770" w:rsidRDefault="00445E8A" w:rsidP="00307770">
      <w:pPr>
        <w:numPr>
          <w:ilvl w:val="0"/>
          <w:numId w:val="17"/>
        </w:num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субвенція з місцевого бюджету на здійснення переданих видатків у сфері освіти за рахунок коштів освітньої субвенції - 4 832 110,00 грн (в тому числі:  оплата праці педагогічних працівників приватних закладів загальної середньої </w:t>
      </w:r>
      <w:r w:rsidRPr="00307770">
        <w:rPr>
          <w:rFonts w:ascii="Times New Roman" w:hAnsi="Times New Roman"/>
          <w:color w:val="000000"/>
          <w:szCs w:val="28"/>
        </w:rPr>
        <w:lastRenderedPageBreak/>
        <w:t>освіти – 3 500 500,00 грн; забезпечення діяльності інклюзивно-ресурсного центру -  1 331 610,00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дотація з місцевого бюджету на здійснення переданих з державного бюджету видатків з утримання закладів освіти та охорони здоров`я за рахунок відповідної додаткової дотації з державного бюджету - 2 220 381,00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забезпечення діяльності фахівців із супроводу ветеранів війни та демобілізованих осіб та окремі заходи з підтримки осіб, які захищали незалежність, суверенітет та територіальну цілісність України, за рахунок відповідної субвенції з державного бюджету -  1 591 872,00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 інші субвенції з місцевого бюджету (оплата праці працівників КНП «ЦПМСД», «Програма заходів національного спротиву Боярської міської територіальної громади на 2025 рік», забезпечення лікарськими засобами, відшкодування за комунальні послуги КНП «Лікарня інтенсивного лікування Боярської міської ради») – 5 640 221,64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державного бюджету місцевим бюджетам на надання державної підтримки особам з особливими освітніми потребами - 574 700,00 грн;</w:t>
      </w:r>
    </w:p>
    <w:p w:rsidR="007E149F" w:rsidRPr="00307770" w:rsidRDefault="00445E8A" w:rsidP="00307770">
      <w:pPr>
        <w:numPr>
          <w:ilvl w:val="0"/>
          <w:numId w:val="17"/>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субвенція з місцевого бюджету на виконання окремих заходів з реалізації соціального проекту «Активні парки - локації здорової України» за рахунок відповідної субвенції з державного бюджету -149 328,00 грн.</w:t>
      </w:r>
    </w:p>
    <w:p w:rsidR="007E149F" w:rsidRPr="00307770" w:rsidRDefault="00445E8A" w:rsidP="00307770">
      <w:pPr>
        <w:pBdr>
          <w:top w:val="nil"/>
          <w:left w:val="nil"/>
          <w:bottom w:val="nil"/>
          <w:right w:val="nil"/>
          <w:between w:val="nil"/>
        </w:pBdr>
        <w:tabs>
          <w:tab w:val="left" w:pos="1260"/>
        </w:tabs>
        <w:spacing w:line="360" w:lineRule="auto"/>
        <w:ind w:leftChars="0" w:left="0" w:firstLineChars="202" w:firstLine="566"/>
        <w:jc w:val="both"/>
        <w:rPr>
          <w:rFonts w:ascii="Times New Roman" w:hAnsi="Times New Roman"/>
          <w:color w:val="000000"/>
          <w:szCs w:val="28"/>
        </w:rPr>
      </w:pPr>
      <w:r w:rsidRPr="00307770">
        <w:rPr>
          <w:rFonts w:ascii="Times New Roman" w:hAnsi="Times New Roman"/>
          <w:b/>
          <w:bCs/>
          <w:color w:val="000000"/>
          <w:szCs w:val="28"/>
        </w:rPr>
        <w:t>Видатки спеціального фонду</w:t>
      </w:r>
      <w:r w:rsidRPr="00307770">
        <w:rPr>
          <w:rFonts w:ascii="Times New Roman" w:hAnsi="Times New Roman"/>
          <w:color w:val="000000"/>
          <w:szCs w:val="28"/>
        </w:rPr>
        <w:t xml:space="preserve"> бюджету територіальної громади за  9 місяців 2025 року склали  107 081 613,62 грн, зокрема, в розрізі галузей: «Освіта» – 64 751 364,83 грн, «Соціальний захист та соціальне забезпечення» - 12 488 658,11 грн, «Міжбюджетні трансферти» – 9 791 760,00 грн (в тому числі: заходи з охорони та безпеки – 7 780 760,00 грн, інші субвенції – 2 011 000,00 грн), «Житлово-комунальне господарство» – 9 216 919,84 грн, «Державне управління» – 5 061 721,69 грн, «Фізична культура і спорт» -    2 356 101,88 грн, «Економічна діяльність» (заходи із землеустрою, розроблення схем планування та забудови території, внески до статутного капіталу) – 1 511 272,80 грн,  «Культура і мистецтво» –1 388 763,47 грн, «Інша діяльність» (заходи із запобігання та </w:t>
      </w:r>
      <w:r w:rsidRPr="00307770">
        <w:rPr>
          <w:rFonts w:ascii="Times New Roman" w:hAnsi="Times New Roman"/>
          <w:color w:val="000000"/>
          <w:szCs w:val="28"/>
        </w:rPr>
        <w:lastRenderedPageBreak/>
        <w:t>ліквідації надзвичайних ситуацій та наслідків стихійного лиха)  - 399 090,00 грн, «Охорона здоров’я» – 115 961,00  грн.</w:t>
      </w:r>
    </w:p>
    <w:p w:rsidR="007E149F" w:rsidRPr="00307770" w:rsidRDefault="007E149F"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p>
    <w:p w:rsidR="007E149F" w:rsidRDefault="00445E8A">
      <w:pPr>
        <w:widowControl w:val="0"/>
        <w:pBdr>
          <w:top w:val="nil"/>
          <w:left w:val="nil"/>
          <w:bottom w:val="nil"/>
          <w:right w:val="nil"/>
          <w:between w:val="nil"/>
        </w:pBdr>
        <w:tabs>
          <w:tab w:val="center" w:pos="4820"/>
          <w:tab w:val="right" w:pos="9641"/>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Демографічна ситуація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даними реєстру кількість зареєстрованих осіб у Боярській міській територіальній громаді станом на 01.10.2025 року становила 49247, в тому числі у м. Боярка - 33636 осіб, у селах  Дзвінкове, Перевіз, Жорнівка, Княжичі, Забір’я, Іванків, Малютянка, Тарасівка, Нове, Новосілки – 15611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Із загальної кількості зареєстрованих працездатних осіб (від 15 до 59 років) обліковується 30025 осіб, дітей віком від 0 </w:t>
      </w:r>
      <w:r>
        <w:rPr>
          <w:szCs w:val="28"/>
        </w:rPr>
        <w:t>д</w:t>
      </w:r>
      <w:r>
        <w:rPr>
          <w:rFonts w:ascii="Times New Roman" w:hAnsi="Times New Roman"/>
          <w:color w:val="000000"/>
          <w:szCs w:val="28"/>
        </w:rPr>
        <w:t>о 14 років – 5944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на території громади зареєстровано осіб з числа ВПО – 6431, з них працездатні – 2972 особи, діти – 1647 осіб.</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ринку праці для підвищення рівня зайнятості населення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даними Фастівської філії Київського центру зайнятості за 9 місяців 2025 року кількість безробітних, що стали на облік 166 осіб, в порівнянні з аналогічним періодом минулого року (69 осіб) на 97 осіб більше, 79 з них внутрішньо переміщені, 111 осіб були працевлаштовані, 26 з них внутрішньо переміщенні особи.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 w:val="27"/>
          <w:szCs w:val="27"/>
        </w:rPr>
      </w:pPr>
      <w:r>
        <w:rPr>
          <w:rFonts w:ascii="Times New Roman" w:hAnsi="Times New Roman"/>
          <w:color w:val="000000"/>
          <w:szCs w:val="28"/>
        </w:rPr>
        <w:t>Мікрогранти отримали 11 осіб, що в порівнянні з аналогічним періодом минулого року (5) на 6 більше. Ваучери на навчання 28 осіб, що в порівнянні з аналогічним періодом минулого року (2) на 26 більше. Компенсацію за працевлаштування по постанові Кабінету Міністрів України № 331 - отримали 56 осіб, що в порівнянні з аналогічним періодом минулого року (37) на 19 більше</w:t>
      </w:r>
      <w:r>
        <w:rPr>
          <w:rFonts w:ascii="Times New Roman" w:hAnsi="Times New Roman"/>
          <w:color w:val="000000"/>
          <w:sz w:val="27"/>
          <w:szCs w:val="27"/>
        </w:rPr>
        <w:t>.</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 2025 році </w:t>
      </w:r>
      <w:r>
        <w:rPr>
          <w:szCs w:val="28"/>
        </w:rPr>
        <w:t>за рахунок приватних інвестицій</w:t>
      </w:r>
      <w:r>
        <w:rPr>
          <w:rFonts w:ascii="Times New Roman" w:hAnsi="Times New Roman"/>
          <w:color w:val="000000"/>
          <w:szCs w:val="28"/>
        </w:rPr>
        <w:t xml:space="preserve"> побудовано 2 нових магазини. Загальна кількість створених робочих місць біля 60. </w:t>
      </w:r>
    </w:p>
    <w:p w:rsidR="007E149F" w:rsidRDefault="007E149F" w:rsidP="00307770">
      <w:pPr>
        <w:pBdr>
          <w:top w:val="nil"/>
          <w:left w:val="nil"/>
          <w:bottom w:val="nil"/>
          <w:right w:val="nil"/>
          <w:between w:val="nil"/>
        </w:pBdr>
        <w:spacing w:line="360" w:lineRule="auto"/>
        <w:ind w:leftChars="0" w:left="0" w:firstLineChars="202" w:firstLine="545"/>
        <w:jc w:val="both"/>
        <w:rPr>
          <w:rFonts w:ascii="Times New Roman" w:hAnsi="Times New Roman"/>
          <w:color w:val="000000"/>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Заробітна плата та стан її виплати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даними Фастівської філії Київського центру зайнятості розмір середньої заробітної плати станом на 01 жовтня 2025 року становить 12303,10 грн., що в </w:t>
      </w:r>
      <w:r>
        <w:rPr>
          <w:rFonts w:ascii="Times New Roman" w:hAnsi="Times New Roman"/>
          <w:color w:val="000000"/>
          <w:szCs w:val="28"/>
        </w:rPr>
        <w:lastRenderedPageBreak/>
        <w:t xml:space="preserve">порівнянні з аналогічним періодом минулого року (10434,90 грн.) на 1868,20 грн. більше.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Освіта</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eastAsia="Inter" w:hAnsi="Times New Roman"/>
          <w:color w:val="000000"/>
          <w:szCs w:val="28"/>
        </w:rPr>
        <w:t xml:space="preserve">У 2025 році Боярська громада системно працює над забезпеченням якісної освіти, безпечного та інклюзивного середовища, організацією харчування та наданням психологічної підтримки, зокрема для внутрішньо переміщених осіб. </w:t>
      </w:r>
      <w:r w:rsidRPr="00307770">
        <w:rPr>
          <w:rFonts w:ascii="Times New Roman" w:hAnsi="Times New Roman"/>
          <w:color w:val="000000"/>
          <w:szCs w:val="28"/>
        </w:rPr>
        <w:t>Порівняння показників щодо мережі закладів освіти та здобувачів освіти в цих закладах  станом на 01.10.2025 р в порівнянні з аналогічним періодом 2024 р.:</w:t>
      </w:r>
    </w:p>
    <w:tbl>
      <w:tblPr>
        <w:tblStyle w:val="aff2"/>
        <w:tblW w:w="94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4"/>
        <w:gridCol w:w="1886"/>
        <w:gridCol w:w="2316"/>
        <w:gridCol w:w="1894"/>
      </w:tblGrid>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Показники</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2024 р</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2025 р</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jc w:val="center"/>
              <w:rPr>
                <w:rFonts w:ascii="Times New Roman" w:hAnsi="Times New Roman"/>
                <w:color w:val="000000"/>
                <w:sz w:val="24"/>
                <w:szCs w:val="24"/>
              </w:rPr>
            </w:pPr>
            <w:r w:rsidRPr="00307770">
              <w:rPr>
                <w:rFonts w:ascii="Times New Roman" w:hAnsi="Times New Roman"/>
                <w:b/>
                <w:bCs/>
                <w:color w:val="000000"/>
                <w:sz w:val="24"/>
                <w:szCs w:val="24"/>
              </w:rPr>
              <w:t>Відхилення (+,-)</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 xml:space="preserve">Мережа закладів освіти </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закладів дошкільної освіти (ЗДО),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11 в т.ч. 1 – приватної форми</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 xml:space="preserve">11 в т.ч. 1 – приватної форми </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0</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закладів загальної середньої освіти (ЗЗСО),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17, в т.ч. 7 – приватної форми</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16, в т.ч. 6 – приватної форми</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 (призупинив освітній процес ПП «Боярська гімназія «Виноградник»)</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заклади позашкільної освіти (ЗПО),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 (69 гуртків, 175 груп)</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 (66 гуртків, в них 168 груп)</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0</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i/>
                <w:iCs/>
                <w:color w:val="000000"/>
                <w:sz w:val="24"/>
                <w:szCs w:val="24"/>
              </w:rPr>
              <w:t>інклюзивно-ресурсний центр (ІРЦ), од.</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0</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у ЗДО, осіб</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1449 (ВПО – 94)</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1563 (ВПО – 127))</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+114 (ВПО -+ 33)</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здобувачів освіти у ЗЗСО, осіб</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8771 (ВПО - 566)</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8547 (ВПО - 618)</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+-224 (ВПО +52)</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охоплена позашкільною освітою, осіб</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2671 (ВПО – 37)</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2727 (ВПО – 119)</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+56 (ВПО +82)</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lastRenderedPageBreak/>
              <w:t>Кількість дітей в інклюзивних класах в ЗЗСО</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67 класів/103 дитини</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81 клас/131 дитина</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+14/+28</w:t>
            </w:r>
          </w:p>
        </w:tc>
      </w:tr>
      <w:tr w:rsidR="00307770" w:rsidRPr="00307770" w:rsidTr="00307770">
        <w:tc>
          <w:tcPr>
            <w:tcW w:w="332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Кількість дітей в інклюзивних групах в ЗДО</w:t>
            </w:r>
          </w:p>
        </w:tc>
        <w:tc>
          <w:tcPr>
            <w:tcW w:w="188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25 груп/114 дітей</w:t>
            </w:r>
          </w:p>
        </w:tc>
        <w:tc>
          <w:tcPr>
            <w:tcW w:w="2316"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35 груп/182 дитини</w:t>
            </w:r>
          </w:p>
        </w:tc>
        <w:tc>
          <w:tcPr>
            <w:tcW w:w="1894" w:type="dxa"/>
          </w:tcPr>
          <w:p w:rsidR="00307770" w:rsidRPr="00307770" w:rsidRDefault="00307770" w:rsidP="00307770">
            <w:pPr>
              <w:pBdr>
                <w:top w:val="nil"/>
                <w:left w:val="nil"/>
                <w:bottom w:val="nil"/>
                <w:right w:val="nil"/>
                <w:between w:val="nil"/>
              </w:pBdr>
              <w:spacing w:line="360" w:lineRule="auto"/>
              <w:ind w:leftChars="0" w:firstLineChars="202" w:firstLine="485"/>
              <w:rPr>
                <w:rFonts w:ascii="Times New Roman" w:hAnsi="Times New Roman"/>
                <w:color w:val="000000"/>
                <w:sz w:val="24"/>
                <w:szCs w:val="24"/>
              </w:rPr>
            </w:pPr>
            <w:r w:rsidRPr="00307770">
              <w:rPr>
                <w:rFonts w:ascii="Times New Roman" w:hAnsi="Times New Roman"/>
                <w:color w:val="000000"/>
                <w:sz w:val="24"/>
                <w:szCs w:val="24"/>
              </w:rPr>
              <w:t>+10/+68</w:t>
            </w:r>
          </w:p>
        </w:tc>
      </w:tr>
    </w:tbl>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Станом на 01.10.2025 система освіти комунальної власності Боярської міської територіальної громади представлена 786 педагогічними працівниками.</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Протягом 9 місяців 2025 року Управлінням освіти здійснювався моніторинг потреб установ та закладів освіти в педагогічних кадрах. Вакансії педагогічних працівників: у дошкіллі - 36; у закладах загальної середньої освіти – 24; у позашкіллі – 19.</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Освітяни Боярської громади послідовно впроваджують Концепцію безпеки закладів освіти, схвалену розпорядженням Кабінету Міністрів України від 7 квітня 2023 р. № 301-р.</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Впродовж року навчання проводилось в очній (Забірський ОЗО, Княжицька філія Забірського ОЗО, Дзвінківська філія Забірського ОЗО, Новосілківська гімназія) та змішаній формі (8 ЗЗСО), які були затверджені на засіданні комісії ТЕБ та НС Фастівської районної адміністрації.</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Харчування учнів 1-4-х класів з листопада 2024 року було організовано за рахунок субвенції. Безкоштовним гарячим харчуванням було охоплено 2943 учнів початкової школи та всі учні пільгових категорій 5-11 класів.</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З вересня 2023 року 5 закладів освіти беруть участь у пілотній програмі шкільного харчування, яка реалізується Всесвітньою продовольчою програмою Організації Об’єднаних Націй з метою надання фінансової підтримки закладам загальної середньої освіти. Відповідно цієї програми учні 1-4 класів мають покращене харчування (</w:t>
      </w:r>
      <w:r w:rsidRPr="00307770">
        <w:rPr>
          <w:rFonts w:ascii="Times New Roman" w:hAnsi="Times New Roman"/>
          <w:szCs w:val="28"/>
        </w:rPr>
        <w:t>урізноманітнення</w:t>
      </w:r>
      <w:r w:rsidRPr="00307770">
        <w:rPr>
          <w:rFonts w:ascii="Times New Roman" w:hAnsi="Times New Roman"/>
          <w:color w:val="000000"/>
          <w:szCs w:val="28"/>
        </w:rPr>
        <w:t xml:space="preserve"> меню, заміна продуктів харчування тощо).</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На сьогодні інклюзивна освіта є не лише актуальним соціальним аспектом, але й одним із прогресивних напрямків розвитку сучасної української школи.</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Всього в 81 інклюзивному класі ЗЗСО навчається 131 особа з ООП, в 35 інклюзивних групах ЗДО – 182 особи з ООП.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lastRenderedPageBreak/>
        <w:t>Відповідно до Закону України «Про освіту» в Україні створюються рівні умови доступу до освіти, до всіх форм здобуття освіти. Це особливо актуально в умовах режиму воєнного стану. В закладах освіти навчаються 618 учнів зі статусом ВПО. Вони забезпечені підручниками, безкоштовним харчуванням. В ЗДО виховуються 127 дітей зі статусом ВПО.</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Наказом МОН України від 06.06.2022 №527 затверджено Заходи щодо реалізації Концепції національно-патріотичного виховання в системі освіти України до 2025 року. Відповідно Концепції розроблено заходи з національно-патріотичного виховання в закладах освіти Боярської громади на 2021-2025 рр. </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Профілактика девіантної поведінки є важливим чинником, який впливає на формування здорової та повноцінної особистості. Працівники психологічної служби активно проводять превенцію щодо попередження девіантної поведінки, акцентуючи свою увагу на адиктивній поведінці, про формування навичок здорового способу життя серед здобувачів освіти.</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Робота учнівського самоврядування є невід’ємною ланкою розвитку талановитих учнів, залучення їх до квестів, заходів, інформаційних хвилинок, майстер класів  протягом навчального року.</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З огляду на існуючу загрозу психічному здоров’ю учасників освітнього процесу внаслідок збройної агресії росії, протягом року активно працівники психологічної служби долучилися до проведення інтерактивних занять «Ти як?»</w:t>
      </w:r>
    </w:p>
    <w:p w:rsidR="007E149F" w:rsidRP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sidRPr="00307770">
        <w:rPr>
          <w:rFonts w:ascii="Times New Roman" w:hAnsi="Times New Roman"/>
          <w:color w:val="000000"/>
          <w:szCs w:val="28"/>
        </w:rPr>
        <w:t xml:space="preserve">Враховуючи Додаток 1 до листа МОН від 17.03.2022 № 1/3485-22 Методичні рекомендації «Про проведення бесід з учнями закладу освіти з питань уникнення враження мінами і вибухонебезпечними предметами», Лист МОН України № 1/4428-22 від 25.04.2022 з метою попередження враження мінами та вибухонебезпечними предметами учасників освітнього процесу, було розроблено і затверджено алгоритм дій працівників закладів у випадку виявлення вибухонебезпечних предметів. </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Охорона здоров’я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Комунальні некомерційні підприємства Боярської міської ради надають первинну, спеціалізовану та екстрену медичну допомогу мешканцям громади, а також жителям сусідніх територіальних громад.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з бюджету Боярської міської територіальної громади профінансовано видатки на утримання закладів охорони здоров’я в сумі 32 715 885,12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некомерційне підприємство «Центр первинної медико-санітарної допомоги Боярської міської ради»</w:t>
      </w:r>
      <w:r>
        <w:rPr>
          <w:rFonts w:ascii="Times New Roman" w:hAnsi="Times New Roman"/>
          <w:color w:val="000000"/>
          <w:szCs w:val="28"/>
        </w:rPr>
        <w:t xml:space="preserve"> є закладом охорони здоров`я, що надає первинну медичну допомогу дорослому та дитячому населенню Боярської об`єднаної територіальної громади, спрямовану на збереження та покращення здоров`я населення, забезпечення потреб населення в медичному обслуговуванні, надання медичної допомоги внутрішньо переміщеним особам.</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Порівняння показників станом на 01.10.2025 р в порівнянні з аналогічним періодом 2024 р.:</w:t>
      </w:r>
    </w:p>
    <w:tbl>
      <w:tblPr>
        <w:tblStyle w:val="aff3"/>
        <w:tblW w:w="99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3359"/>
        <w:gridCol w:w="2551"/>
        <w:gridCol w:w="2038"/>
        <w:gridCol w:w="1471"/>
      </w:tblGrid>
      <w:tr w:rsidR="007E149F">
        <w:tc>
          <w:tcPr>
            <w:tcW w:w="577"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w:t>
            </w:r>
          </w:p>
        </w:tc>
        <w:tc>
          <w:tcPr>
            <w:tcW w:w="3359"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Показники</w:t>
            </w:r>
          </w:p>
        </w:tc>
        <w:tc>
          <w:tcPr>
            <w:tcW w:w="2551"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2024 р</w:t>
            </w:r>
          </w:p>
        </w:tc>
        <w:tc>
          <w:tcPr>
            <w:tcW w:w="2038"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2025 р</w:t>
            </w:r>
          </w:p>
        </w:tc>
        <w:tc>
          <w:tcPr>
            <w:tcW w:w="1471"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Відхилення (+,-)</w:t>
            </w:r>
          </w:p>
        </w:tc>
      </w:tr>
      <w:tr w:rsidR="007E149F">
        <w:tc>
          <w:tcPr>
            <w:tcW w:w="577" w:type="dxa"/>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1.</w:t>
            </w:r>
          </w:p>
        </w:tc>
        <w:tc>
          <w:tcPr>
            <w:tcW w:w="3359"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Мережа КНП «ЦПМСД»</w:t>
            </w:r>
          </w:p>
        </w:tc>
        <w:tc>
          <w:tcPr>
            <w:tcW w:w="2551" w:type="dxa"/>
          </w:tcPr>
          <w:p w:rsidR="007E149F" w:rsidRDefault="007E149F">
            <w:pPr>
              <w:pBdr>
                <w:top w:val="nil"/>
                <w:left w:val="nil"/>
                <w:bottom w:val="nil"/>
                <w:right w:val="nil"/>
                <w:between w:val="nil"/>
              </w:pBdr>
              <w:spacing w:line="360" w:lineRule="auto"/>
              <w:ind w:hanging="2"/>
              <w:jc w:val="center"/>
              <w:rPr>
                <w:rFonts w:ascii="Times New Roman" w:hAnsi="Times New Roman"/>
                <w:color w:val="000000"/>
                <w:sz w:val="24"/>
                <w:szCs w:val="24"/>
              </w:rPr>
            </w:pPr>
          </w:p>
        </w:tc>
        <w:tc>
          <w:tcPr>
            <w:tcW w:w="2038" w:type="dxa"/>
          </w:tcPr>
          <w:p w:rsidR="007E149F" w:rsidRDefault="007E149F">
            <w:pPr>
              <w:pBdr>
                <w:top w:val="nil"/>
                <w:left w:val="nil"/>
                <w:bottom w:val="nil"/>
                <w:right w:val="nil"/>
                <w:between w:val="nil"/>
              </w:pBdr>
              <w:spacing w:line="360" w:lineRule="auto"/>
              <w:ind w:hanging="2"/>
              <w:jc w:val="center"/>
              <w:rPr>
                <w:rFonts w:ascii="Times New Roman" w:hAnsi="Times New Roman"/>
                <w:color w:val="000000"/>
                <w:sz w:val="24"/>
                <w:szCs w:val="24"/>
              </w:rPr>
            </w:pPr>
          </w:p>
        </w:tc>
        <w:tc>
          <w:tcPr>
            <w:tcW w:w="1471" w:type="dxa"/>
          </w:tcPr>
          <w:p w:rsidR="007E149F" w:rsidRDefault="007E149F">
            <w:pPr>
              <w:pBdr>
                <w:top w:val="nil"/>
                <w:left w:val="nil"/>
                <w:bottom w:val="nil"/>
                <w:right w:val="nil"/>
                <w:between w:val="nil"/>
              </w:pBdr>
              <w:spacing w:line="360" w:lineRule="auto"/>
              <w:ind w:hanging="2"/>
              <w:jc w:val="center"/>
              <w:rPr>
                <w:rFonts w:ascii="Times New Roman" w:hAnsi="Times New Roman"/>
                <w:color w:val="000000"/>
                <w:sz w:val="24"/>
                <w:szCs w:val="24"/>
              </w:rPr>
            </w:pP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1.1.</w:t>
            </w:r>
          </w:p>
        </w:tc>
        <w:tc>
          <w:tcPr>
            <w:tcW w:w="3359"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Амбулаторії ЗПСМ,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1.2.</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i/>
                <w:iCs/>
                <w:color w:val="000000"/>
                <w:sz w:val="24"/>
                <w:szCs w:val="24"/>
              </w:rPr>
              <w:t>Пункт невідкладної  медичної допомоги,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i/>
                <w:iCs/>
                <w:color w:val="000000"/>
                <w:sz w:val="24"/>
                <w:szCs w:val="24"/>
              </w:rPr>
              <w:t>1.3.</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highlight w:val="yellow"/>
              </w:rPr>
            </w:pPr>
            <w:r>
              <w:rPr>
                <w:rFonts w:ascii="Times New Roman" w:hAnsi="Times New Roman"/>
                <w:i/>
                <w:iCs/>
                <w:color w:val="000000"/>
                <w:sz w:val="24"/>
                <w:szCs w:val="24"/>
              </w:rPr>
              <w:t>Медичні пункти тимчасового базування в с. Княжичі, с. Дзвінкове, с. Новосілки ,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 (з червня)</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Лікарі, осіб</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30</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37</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Укладено декларацій, од.</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30767</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33115</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+2348</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4.</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Відвідувань за день, осіб</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600</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700</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+100</w:t>
            </w:r>
          </w:p>
        </w:tc>
      </w:tr>
      <w:tr w:rsidR="007E149F">
        <w:tc>
          <w:tcPr>
            <w:tcW w:w="577"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5.</w:t>
            </w: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 xml:space="preserve">Прийнято по пункту невідкладної медичної допомоги </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1862</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2400</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+538</w:t>
            </w:r>
          </w:p>
        </w:tc>
      </w:tr>
      <w:tr w:rsidR="007E149F">
        <w:tc>
          <w:tcPr>
            <w:tcW w:w="577" w:type="dxa"/>
          </w:tcPr>
          <w:p w:rsidR="007E149F" w:rsidRDefault="007E149F">
            <w:pPr>
              <w:pBdr>
                <w:top w:val="nil"/>
                <w:left w:val="nil"/>
                <w:bottom w:val="nil"/>
                <w:right w:val="nil"/>
                <w:between w:val="nil"/>
              </w:pBdr>
              <w:spacing w:line="360" w:lineRule="auto"/>
              <w:ind w:hanging="2"/>
              <w:rPr>
                <w:rFonts w:ascii="Times New Roman" w:hAnsi="Times New Roman"/>
                <w:color w:val="000000"/>
                <w:sz w:val="24"/>
                <w:szCs w:val="24"/>
              </w:rPr>
            </w:pP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Надано амбулаторну допомогу</w:t>
            </w:r>
          </w:p>
        </w:tc>
        <w:tc>
          <w:tcPr>
            <w:tcW w:w="255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142</w:t>
            </w:r>
          </w:p>
        </w:tc>
        <w:tc>
          <w:tcPr>
            <w:tcW w:w="2038"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150</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+8</w:t>
            </w:r>
          </w:p>
        </w:tc>
      </w:tr>
      <w:tr w:rsidR="007E149F">
        <w:tc>
          <w:tcPr>
            <w:tcW w:w="577" w:type="dxa"/>
          </w:tcPr>
          <w:p w:rsidR="007E149F" w:rsidRDefault="007E149F">
            <w:pPr>
              <w:pBdr>
                <w:top w:val="nil"/>
                <w:left w:val="nil"/>
                <w:bottom w:val="nil"/>
                <w:right w:val="nil"/>
                <w:between w:val="nil"/>
              </w:pBdr>
              <w:spacing w:line="360" w:lineRule="auto"/>
              <w:ind w:hanging="2"/>
              <w:rPr>
                <w:rFonts w:ascii="Times New Roman" w:hAnsi="Times New Roman"/>
                <w:color w:val="000000"/>
                <w:sz w:val="24"/>
                <w:szCs w:val="24"/>
              </w:rPr>
            </w:pPr>
          </w:p>
        </w:tc>
        <w:tc>
          <w:tcPr>
            <w:tcW w:w="3359"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Укладені договори з Національною службою здоров’я України про надання медичних послуг, пакети</w:t>
            </w:r>
          </w:p>
        </w:tc>
        <w:tc>
          <w:tcPr>
            <w:tcW w:w="2551"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 xml:space="preserve">1)пакет «Первинна медична допомога»; </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2)пакет №51 «Супровід і лікування дорослих та дітей з психічними розладами на первинному рівні медичної допомоги»;</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3)пакет  №50 «Забезпечення кадрового потенціалу системи охорони здоров`я шляхом організації надання медичної допомоги із залученням лікарів – інтернів»;</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4)пакет «Супровід та лікування дорослих та дітей, хворих на туберкульоз, на первинному рівні медичної допомоги»;</w:t>
            </w:r>
          </w:p>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5)пакет “Мобільна паліативна медична допомога дорослим і дітям”.</w:t>
            </w:r>
          </w:p>
          <w:p w:rsidR="007E149F" w:rsidRDefault="007E149F">
            <w:pPr>
              <w:pBdr>
                <w:top w:val="nil"/>
                <w:left w:val="nil"/>
                <w:bottom w:val="nil"/>
                <w:right w:val="nil"/>
                <w:between w:val="nil"/>
              </w:pBdr>
              <w:spacing w:line="360" w:lineRule="auto"/>
              <w:ind w:hanging="2"/>
              <w:jc w:val="both"/>
              <w:rPr>
                <w:rFonts w:ascii="Times New Roman" w:hAnsi="Times New Roman"/>
                <w:color w:val="000000"/>
                <w:sz w:val="24"/>
                <w:szCs w:val="24"/>
              </w:rPr>
            </w:pPr>
          </w:p>
        </w:tc>
        <w:tc>
          <w:tcPr>
            <w:tcW w:w="2038" w:type="dxa"/>
          </w:tcPr>
          <w:p w:rsidR="007E149F" w:rsidRDefault="00445E8A">
            <w:pPr>
              <w:pBdr>
                <w:top w:val="nil"/>
                <w:left w:val="nil"/>
                <w:bottom w:val="nil"/>
                <w:right w:val="nil"/>
                <w:between w:val="nil"/>
              </w:pBdr>
              <w:spacing w:line="360" w:lineRule="auto"/>
              <w:ind w:hanging="2"/>
              <w:jc w:val="both"/>
              <w:rPr>
                <w:rFonts w:ascii="Times New Roman" w:hAnsi="Times New Roman"/>
                <w:color w:val="000000"/>
                <w:sz w:val="24"/>
                <w:szCs w:val="24"/>
              </w:rPr>
            </w:pPr>
            <w:r>
              <w:rPr>
                <w:rFonts w:ascii="Times New Roman" w:hAnsi="Times New Roman"/>
                <w:color w:val="000000"/>
                <w:sz w:val="24"/>
                <w:szCs w:val="24"/>
              </w:rPr>
              <w:t xml:space="preserve">1)пакет «Первинна медична допомога»; </w:t>
            </w:r>
          </w:p>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2)пакет  №50 «Забезпечення кадрового потенціалу системи охорони здоров`я шляхом організації надання медичної допомоги із залученням лікарів – інтернів»</w:t>
            </w:r>
          </w:p>
        </w:tc>
        <w:tc>
          <w:tcPr>
            <w:tcW w:w="1471" w:type="dxa"/>
          </w:tcPr>
          <w:p w:rsidR="007E149F" w:rsidRDefault="00445E8A">
            <w:pPr>
              <w:pBdr>
                <w:top w:val="nil"/>
                <w:left w:val="nil"/>
                <w:bottom w:val="nil"/>
                <w:right w:val="nil"/>
                <w:between w:val="nil"/>
              </w:pBdr>
              <w:spacing w:line="360" w:lineRule="auto"/>
              <w:ind w:hanging="2"/>
              <w:rPr>
                <w:rFonts w:ascii="Times New Roman" w:hAnsi="Times New Roman"/>
                <w:color w:val="000000"/>
                <w:sz w:val="24"/>
                <w:szCs w:val="24"/>
              </w:rPr>
            </w:pPr>
            <w:r>
              <w:rPr>
                <w:rFonts w:ascii="Times New Roman" w:hAnsi="Times New Roman"/>
                <w:color w:val="000000"/>
                <w:sz w:val="24"/>
                <w:szCs w:val="24"/>
              </w:rPr>
              <w:t>0</w:t>
            </w:r>
          </w:p>
        </w:tc>
      </w:tr>
    </w:tbl>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9 місяців 2025 року в межах міських програм фінансової підтримки підприємства для забезпечення їх безперебійного функціонування з місцевого бюджету Боярської міської територіальної громади було виділено  8 237 399,72 грн., а саме: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КПКВКМБ 0212111 (утримання центру) – 3 565 855,54 грн.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КПКВКМБ 0212152 (утримання пункту невідкладної медичної допомоги) - 4 671 544,18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Кошти місцевого бюджету були спрямовані на заробітну плату працівників закладу, на закупівлю медикаментів, товарів та послуг та на комунальні послуги за для забезпечення повноцінного функціонування підприємства.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звітний період по КНП « ЦПМСД БМР» досягло наступних результатів: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 Продовжується співпраця з ДУ «Київський обласний центр контролю та профілактики хвороб МОЗУ»; КЗ КОР «База спец.мед.постачання»; БО «БФ Ізраїльська медична місія», ТОВ «Гледфармлтд», ГО НО «Ін тач юкрейн дундейшн», БФ «Основи країни», КНП КОР «Київський обласний спеціалізований медичний центр», UNICEF які надають благодійну, гуманітарну допомогу у вигляді ліків та виробів медичного призначення.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3) У рамках підвищення якості надання медичної допомоги та розширення спектра послуг, підприємство здійснило розвиток матеріально-технічної бази та організаційну підготовку до відкриття відділення спеціалізованої медичної допомоги на платних послугах.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Відділення почало функціонувати з метою забезпечення населення якісними медичними консультаціями та обстеженнями від лікарів вузьких спеціальностей, що дозволяє:</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підвищити доступність спеціалізованої медичної допомоги для жителів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скоротити час очікування на прийом до лікаря;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задовольнити потреби пацієнтів у додаткових та розширених медичних послугах;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забезпечити додаткові надходження до спеціального фонду підприємства, що сприятиме подальшому соціально-економічному розвитку закладу.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Проблемні питання, як потребують залучення додаткових коштів: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1)В зв’язку з наказом МОЗ №496 від 17.03.2022р. «Деякі питання надання первинної медичної допомоги в умовах воєнного стану» внутрішньо переміщеним особам дозволяється надання первинної медичної допомоги незалежно від місця </w:t>
      </w:r>
      <w:r>
        <w:rPr>
          <w:rFonts w:ascii="Times New Roman" w:hAnsi="Times New Roman"/>
          <w:color w:val="000000"/>
          <w:szCs w:val="28"/>
        </w:rPr>
        <w:lastRenderedPageBreak/>
        <w:t xml:space="preserve">проживання, що створює додаткове навантаження на заклад та потребує залучення додаткових ресурсів, який ніким не оплачується.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2)Розбудова Амбулаторії загальної практики сімейної медицини № 6 в с.Малютянка, яка відповідає новітнім нормам (виготовлення проектно - кошторисної документації з ремонту даху, ремонт даху, влаштування приміщення санвузла з автономною системою каналізації та утеплення зовнішніх стін будівлі).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3)Забезпечення Підприємства необхідними медикаментами та мед. засобами, які є безкоштовними для населення, згідно затверджених протоколів лікування.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4)Пристосування будівель АЗПСМ до потреб маломобільних груп населення.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5)Придбання сучасного діагностичного та лікувального обладнання.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6)З метою забезпечення безперебійного функціонування закладу, існує необхідність у придбанні службового автомобіля.</w:t>
      </w:r>
    </w:p>
    <w:p w:rsidR="007E149F" w:rsidRDefault="007E149F" w:rsidP="00307770">
      <w:pPr>
        <w:pBdr>
          <w:top w:val="nil"/>
          <w:left w:val="nil"/>
          <w:bottom w:val="nil"/>
          <w:right w:val="nil"/>
          <w:between w:val="nil"/>
        </w:pBdr>
        <w:spacing w:line="276" w:lineRule="auto"/>
        <w:ind w:leftChars="0" w:left="0" w:firstLineChars="202" w:firstLine="545"/>
        <w:jc w:val="both"/>
        <w:rPr>
          <w:rFonts w:ascii="Times New Roman" w:hAnsi="Times New Roman"/>
          <w:color w:val="000000"/>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некомерційне підприємство «Лікарня інтенсивного лікування Боярської міської ради»</w:t>
      </w:r>
      <w:r>
        <w:rPr>
          <w:rFonts w:ascii="Times New Roman" w:hAnsi="Times New Roman"/>
          <w:color w:val="000000"/>
          <w:szCs w:val="28"/>
        </w:rPr>
        <w:t xml:space="preserve"> надає послуги первинної, вторинної (спеціалізованої) та іншої медичної допомоги будь-яким особам у порядку та на умовах, встановлених законодавством України на території Боярської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Середня кількість працівників складає 605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КНП «ЛІЛ Боярської міської ради» надає високоспеціалізовану медичну допомогу населенню, згідно укладених угод з Національною службою здоров’я України  про медичне обслуговування населення за програмами медичних гарантій, згідно 21 пакетів.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Ліжковий фонд Підприємства розрахований: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цілодобовий стаціонар розраховано на 285 ліжок;</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денний стаціонар на 18 ліжок.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структурі Підприємства функціонує Консультативно-діагностичний центр, де ведеться амбулаторний прийом спеціалістами майже всіх вузьких спеціальностей, а також проводиться профілактика та медогляди населення. До складу консультативно-діагностичний центру входить відділення профілактики  для періодичних та профілактичних оглядів працівників підприємств, </w:t>
      </w:r>
      <w:r>
        <w:rPr>
          <w:rFonts w:ascii="Times New Roman" w:hAnsi="Times New Roman"/>
          <w:color w:val="000000"/>
          <w:szCs w:val="28"/>
        </w:rPr>
        <w:lastRenderedPageBreak/>
        <w:t>спеціалізований кабінет «Довіра», які працюють у напрямку оздоровлення нації та суспільства в цілому.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Аналіз показників станом на 01.10.2025 р.  в порівнянні з аналогічним періодом минулого року.</w:t>
      </w:r>
    </w:p>
    <w:tbl>
      <w:tblPr>
        <w:tblStyle w:val="aff4"/>
        <w:tblpPr w:leftFromText="180" w:rightFromText="180" w:bottomFromText="200" w:vertAnchor="text" w:tblpY="19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5245"/>
        <w:gridCol w:w="1418"/>
        <w:gridCol w:w="1559"/>
        <w:gridCol w:w="992"/>
      </w:tblGrid>
      <w:tr w:rsidR="007E149F">
        <w:trPr>
          <w:trHeight w:val="421"/>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п\п</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Назва показника</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2024 р</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2025 р</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b/>
                <w:bCs/>
                <w:color w:val="000000"/>
                <w:sz w:val="24"/>
                <w:szCs w:val="24"/>
              </w:rPr>
              <w:t>+,-</w:t>
            </w:r>
          </w:p>
        </w:tc>
      </w:tr>
      <w:tr w:rsidR="007E149F">
        <w:trPr>
          <w:trHeight w:val="847"/>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укладених декларацій сімейними лікарями</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1645</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1600</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-45 </w:t>
            </w:r>
          </w:p>
        </w:tc>
      </w:tr>
      <w:tr w:rsidR="007E149F">
        <w:trPr>
          <w:trHeight w:val="690"/>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2</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укладених договорів з НСЗУ за ПМГ</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2</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-2 </w:t>
            </w:r>
          </w:p>
        </w:tc>
      </w:tr>
      <w:tr w:rsidR="007E149F">
        <w:trPr>
          <w:trHeight w:val="689"/>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3</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відвідувань амбулаторних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125359</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118494</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 -6865</w:t>
            </w:r>
          </w:p>
        </w:tc>
      </w:tr>
      <w:tr w:rsidR="007E149F">
        <w:trPr>
          <w:trHeight w:val="754"/>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пролікованих пацієнтів у стаціонарних відділеннях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7988</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7266</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 -722</w:t>
            </w:r>
          </w:p>
        </w:tc>
      </w:tr>
      <w:tr w:rsidR="007E149F">
        <w:trPr>
          <w:trHeight w:val="472"/>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5</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ВПО у стаціонарних відділеннях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189</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146</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-43 </w:t>
            </w:r>
          </w:p>
        </w:tc>
      </w:tr>
      <w:tr w:rsidR="007E149F">
        <w:trPr>
          <w:trHeight w:val="600"/>
        </w:trPr>
        <w:tc>
          <w:tcPr>
            <w:tcW w:w="67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6</w:t>
            </w:r>
          </w:p>
        </w:tc>
        <w:tc>
          <w:tcPr>
            <w:tcW w:w="5245"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Кількість військовослужбовців у стаціонарних відділеннях</w:t>
            </w:r>
          </w:p>
        </w:tc>
        <w:tc>
          <w:tcPr>
            <w:tcW w:w="1418"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428</w:t>
            </w:r>
          </w:p>
        </w:tc>
        <w:tc>
          <w:tcPr>
            <w:tcW w:w="1559"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487</w:t>
            </w:r>
          </w:p>
        </w:tc>
        <w:tc>
          <w:tcPr>
            <w:tcW w:w="992" w:type="dxa"/>
            <w:vAlign w:val="center"/>
          </w:tcPr>
          <w:p w:rsidR="007E149F" w:rsidRDefault="00445E8A">
            <w:pPr>
              <w:pBdr>
                <w:top w:val="nil"/>
                <w:left w:val="nil"/>
                <w:bottom w:val="nil"/>
                <w:right w:val="nil"/>
                <w:between w:val="nil"/>
              </w:pBdr>
              <w:spacing w:line="240" w:lineRule="auto"/>
              <w:ind w:hanging="2"/>
              <w:jc w:val="center"/>
              <w:textDirection w:val="lrTb"/>
              <w:rPr>
                <w:rFonts w:ascii="Times New Roman" w:hAnsi="Times New Roman"/>
                <w:color w:val="000000"/>
                <w:sz w:val="24"/>
                <w:szCs w:val="24"/>
              </w:rPr>
            </w:pPr>
            <w:r>
              <w:rPr>
                <w:rFonts w:ascii="Times New Roman" w:hAnsi="Times New Roman"/>
                <w:color w:val="000000"/>
                <w:sz w:val="24"/>
                <w:szCs w:val="24"/>
              </w:rPr>
              <w:t> +59</w:t>
            </w:r>
          </w:p>
        </w:tc>
      </w:tr>
    </w:tbl>
    <w:p w:rsidR="007E149F" w:rsidRDefault="007E149F">
      <w:pPr>
        <w:pBdr>
          <w:top w:val="nil"/>
          <w:left w:val="nil"/>
          <w:bottom w:val="nil"/>
          <w:right w:val="nil"/>
          <w:between w:val="nil"/>
        </w:pBdr>
        <w:spacing w:line="240" w:lineRule="auto"/>
        <w:ind w:left="0" w:hanging="3"/>
        <w:jc w:val="both"/>
        <w:rPr>
          <w:rFonts w:ascii="Times New Roman" w:hAnsi="Times New Roman"/>
          <w:color w:val="222222"/>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Динаміка 9 місяців 2025 року (у порівнянні з показниками за 2024 рік) негативна за рахунок не укладеного пакету №5 Медична допомога при гострому мозковому інсульті, №8 Медична допомога новонародженим у складних неонатальних випадках та №42 Готовність до надання медичної допомоги в умовах надзвичайних ситуацій.</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Протягом 9 місяців 2025 року на утримання  </w:t>
      </w:r>
      <w:r>
        <w:rPr>
          <w:rFonts w:ascii="Times New Roman" w:hAnsi="Times New Roman"/>
          <w:color w:val="000000"/>
          <w:szCs w:val="28"/>
        </w:rPr>
        <w:t xml:space="preserve">КНП «ЛІЛ Боярської міської ради» </w:t>
      </w:r>
      <w:r>
        <w:rPr>
          <w:rFonts w:ascii="Times New Roman" w:hAnsi="Times New Roman"/>
          <w:color w:val="222222"/>
          <w:szCs w:val="28"/>
        </w:rPr>
        <w:t xml:space="preserve">з бюджету громади профінансовано по Програмі розвитку, функціонування та підтримки (фінансової) комунального некомерційного підприємства "Лікарня інтенсивного лікування Боярської міської ради" на 2021-2025 роки на загальну суму – 18 149 691,00 грн., в т.ч.: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грошова допомога для виплати премії медичним працівникам, які залучені в роботі військово-лікарської комісії - 1 366 855,00 грн.,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оплату комунальних послуг – 14 161 984,41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охорона лікарні – 918 000,00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lastRenderedPageBreak/>
        <w:t>харчування військовослужбовців та учасників бойових дій, осіб з інвалідністю внаслідок бойових дій – 205 568,95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преміювання працівників з нагоди  Дня медичних працівників – 1 000 000,00 грн.,</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капітальний ремонт відділення неврології з інсульт ним блоком – 115 961,00 грн.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 xml:space="preserve">пільгові ліки – 381 321,64 грн.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222222"/>
          <w:szCs w:val="28"/>
        </w:rPr>
        <w:t>Проблемні питання,</w:t>
      </w:r>
      <w:r>
        <w:rPr>
          <w:rFonts w:ascii="Times New Roman" w:hAnsi="Times New Roman"/>
          <w:b/>
          <w:bCs/>
          <w:color w:val="000000"/>
          <w:szCs w:val="28"/>
        </w:rPr>
        <w:t xml:space="preserve"> які потребують додаткового фінансування з бюджету: </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1)Дефіцит коштів на виплату – заробітної плати працівників КНП «ЛІЛ Боярської міської ради». Боярська міська рада надал кошти для виплати премії медичним працівникам, які  залучені в роботі військово-лікарської комісії.</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2)Відсутність МРТ для покращення діагностики хвороб. Надіслано ряд листів до благодійних організацій.</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3)Занижені коефіцієнти оплати НСЗУ наданих медичних послуг.</w:t>
      </w:r>
    </w:p>
    <w:p w:rsidR="007E149F" w:rsidRDefault="00445E8A" w:rsidP="00307770">
      <w:pPr>
        <w:pBdr>
          <w:top w:val="nil"/>
          <w:left w:val="nil"/>
          <w:bottom w:val="nil"/>
          <w:right w:val="nil"/>
          <w:between w:val="nil"/>
        </w:pBdr>
        <w:tabs>
          <w:tab w:val="left" w:pos="1708"/>
          <w:tab w:val="left" w:pos="3094"/>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4)Проведення капітального ремонту протирадіаційних укриттів: №159533, №159562.</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некомерційне підприємство «Стоматологічна поліклініка Боярської міської ради»</w:t>
      </w:r>
      <w:r>
        <w:rPr>
          <w:rFonts w:ascii="Times New Roman" w:hAnsi="Times New Roman"/>
          <w:color w:val="000000"/>
          <w:szCs w:val="28"/>
        </w:rPr>
        <w:t xml:space="preserve">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складу відділення терапевтичної стоматології входять допоміжні лікувально-діагностичні кабінети розташовані в м. Боярка.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складу ортопедичного відділення входить зубопротезна лабораторія, що знаходиться в м. Боярка.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До складу відділення стоматології входять стоматологічні кабінети розташовані в філіях - м. Боярка, с. Забір’я, с. Малютянка, с. Тарасівка. Штатна чисельність відділення стоматології (яке фінансується за кошти Боярської міської територіальної громади ) становить 17 одиниць, фізичних 14 осіб. За 9 місяців 2025 року лікарями-стоматологами та лікарями-стоматологами дитячими було оглянуто в порядку планової санації 1625 осіб, з числа оглянутих потребували санації 1500 осіб, сановано з числа тих, що потребували санації - 763. Усього </w:t>
      </w:r>
      <w:r>
        <w:rPr>
          <w:rFonts w:ascii="Times New Roman" w:hAnsi="Times New Roman"/>
          <w:color w:val="000000"/>
          <w:szCs w:val="28"/>
        </w:rPr>
        <w:lastRenderedPageBreak/>
        <w:t>сановано в порядку планової роботи та за зверненням 1353 особи, в тому числі 993 дитини 0-17 років.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bookmarkStart w:id="1" w:name="_heading=h.c1t8xklds1om" w:colFirst="0" w:colLast="0"/>
      <w:bookmarkEnd w:id="1"/>
      <w:r>
        <w:rPr>
          <w:rFonts w:ascii="Times New Roman" w:hAnsi="Times New Roman"/>
          <w:color w:val="000000"/>
          <w:szCs w:val="28"/>
        </w:rPr>
        <w:t>Загалом кількість відвідувань по Закладу за 9 місяців 2025 року становить 35717 осіб проти 9 місяців 2024 р. - 34542 особи. Кількість осіб, які отримали зубні протези, усього 827; кількість видалених зубів – 7190, проведено 1189 стоматологічних операцій. Загалом по Закладу за 9 місяців 2025 року сановано в порядку планової роботи та за зверненням 5910 осіб, в тому числі 1004 дитини 0-17 років.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9 місяців 2025 року було профінансовано коштів місцевого бюджету 3 944 220,00 грн., використали коштів  - 3 129 722,61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 xml:space="preserve">Проблемні питання, які потребують додаткового фінансування з бюджету: </w:t>
      </w:r>
    </w:p>
    <w:p w:rsidR="007E149F" w:rsidRDefault="00445E8A" w:rsidP="00307770">
      <w:pPr>
        <w:numPr>
          <w:ilvl w:val="0"/>
          <w:numId w:val="18"/>
        </w:num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зв’язку з виробничою необхідністю та аварійним станом приміщень необхідно провести капітальний ремонт в підвальних приміщеннях, для чого потрібно розробити проектно-кошторисну документацію по капітальному ремонту підвальних приміщень та запасного виходу.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2)Для забезпечення надання невідкладної стоматологічної допомоги потрібно закупити кондиціонери.</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Соціальний захист населення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вдосконалення системи надання послуг соціального характеру на території Боярської міської територіальної громади</w:t>
      </w:r>
      <w:r>
        <w:rPr>
          <w:rFonts w:ascii="Times New Roman" w:hAnsi="Times New Roman"/>
          <w:color w:val="000000"/>
          <w:szCs w:val="28"/>
        </w:rPr>
        <w:t xml:space="preserve"> для запровадження нових видів послуг та вдосконалення існуючих в 2025 році свою діяльність здійснюють 2 надавачі соціальних послуг комунальної форми власності: Комунальне некомерційне підприємство “Центр соціальних служб” Боярської міської ради та Комунальна установа “Центр надання соціальних послуг” Боярської міської ради.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Комунальною установою “Центр надання соціальних послуг” Боярської міської ради за 9 місяців 2025 року соціальні послуги отримали 1539 осіб, з них: ВПО - 789, місцеве населення 765, забезпеченні соціальними послугами за місцем </w:t>
      </w:r>
      <w:r>
        <w:rPr>
          <w:rFonts w:ascii="Times New Roman" w:hAnsi="Times New Roman"/>
          <w:color w:val="000000"/>
          <w:szCs w:val="28"/>
        </w:rPr>
        <w:lastRenderedPageBreak/>
        <w:t>проживання громадяни, які не здатні до самообслуговування у зв’язку з похилим віком - 216 осіб, з них 113- осіб з інвалідністю.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Комунальне некомерційне підприємство “Центр соціальних служб” Боярської міської ради на 01.10.2025 року забезпечило соціальними послугами 630 осіб, з них 331 дітей, 411 - місцевих жителів, 219 - ВПО.</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Управлінням соціального захисту населення Боярської міської ради було прийнято 299 рішень про прийняття / відмову в наданні соціальних послуг.</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місцевого бюджету за 9 місяців 2025 року було забезпечено призначення і виплату компенсації фізичним особам, які надають соціальні послуги з догляду на непрофесійній основі для 52 мешканців громади на загальну суму - 878,42 тис. грн. Для призначення і виплати компенсації фізичним особам, які надають соціальні послуги з догляду без здійснення підприємницької діяльності на професійній основі - 237,05тис. грн для 4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соціальної підтримки сім’ям вразливих категорій населення, у тому числі внутрішньо переміщених осіб, в умовах воєнного стану,</w:t>
      </w:r>
      <w:r>
        <w:rPr>
          <w:rFonts w:ascii="Times New Roman" w:hAnsi="Times New Roman"/>
          <w:color w:val="000000"/>
          <w:szCs w:val="28"/>
        </w:rPr>
        <w:t xml:space="preserve"> за результатами роботи за 9 місяців 2025 року, управлінням соціального захисту населення проведено 8 комісій з питань надання матеріальної допомоги та опрацьовано 1339 звернення щодо надання матеріальної допомоги згідно місцевих програм соціальної підтримки. Зокрема відповідно заходів Комплексної програми соціальної підтримки населення Боярської міської територіальної громади «Турбота» на 2025-2027 роки 339 особам з інвалідністю, 92 сім’ям дітей з інвалідністю, 72 учасникам ліквідації та потерпілим від аварії на ЧАЕС та іншим пільговим категоріям осіб визначених програмою надано матеріальну допомогу на загальну суму 3729,5 тис.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Для забезпечення додаткових соціальних гарантій Захисників та Захисниць України та їх сімей відповідно заходів Комплексної програми соціальної підтримки населення Боярської міської територіальної громади «Турбота» на 2025-2027 роки було забезпечено виплату матеріальної допомоги 75 особам з інвалідністю внаслідок війни на загальну суму 366 тис. грн., забезпечена виплата адресної одноразової грошової допомоги сім’ям осіб, які загинули (померли) під </w:t>
      </w:r>
      <w:r>
        <w:rPr>
          <w:rFonts w:ascii="Times New Roman" w:hAnsi="Times New Roman"/>
          <w:color w:val="000000"/>
          <w:szCs w:val="28"/>
        </w:rPr>
        <w:lastRenderedPageBreak/>
        <w:t>час активних бойових дій, смерть яких пов’язана із захистом Батьківщини відповідно 35 поданих заяв від  членів сімей загиблих на загальну суму 880 тис. грн., забезпечено виплату одноразової допомоги в зв'язку з пораненням сімей відповідно 25  поданих заяв на загальну суму 403 тис.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 xml:space="preserve">З метою забезпечення соціальних гарантій деяких категорій осіб, які захищали незалежність, суверенітет та територіальну цілісність України, а також членів їх сімей </w:t>
      </w:r>
      <w:r>
        <w:rPr>
          <w:rFonts w:ascii="Times New Roman" w:hAnsi="Times New Roman"/>
          <w:color w:val="000000"/>
          <w:szCs w:val="28"/>
        </w:rPr>
        <w:t>за 9 місяців 2025 року було організовано та проведено 2 засідань комісії з питань розгляду заяв про призначення грошової компенсації за належні для отримання житлові приміщення членів сімей осіб, які загинули (пропали безвісти), померли та осіб з інвалідністю, внутрішньо переміщених осіб, які захищали незалежність, суверенітет та територіальну цілісність України, деяких категорій осіб, які брали участь у бойових діях на території інших держав, брали участь в Революції Гідності, а також членів їх сімей та подано потребу для призначення виплати коштів державної субвенції для 8 осіб з вищезазначених категорій на загальну суму 19 992 668,06 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Впродовж 9 місяців 2025 року проводились інформаційні кампанії та надавалась необхідна допомога у працевлаштуванні, сприяння у професійній підготовці, перепідготовці, підвищенні кваліфікації Захисникам та Захисницям України, членів сімей загиблих Захисників та Захисниць. На території Боярської міської територіальної громади активно працюють шість фахівці супроводу ветеранів, які щодня допомагають ветеранам адаптуватися до цивільного життя та отримувати необхідну підтримку. Проведено анкетування для ветеранів: «Допоможіть нам краще вас підтримати».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реалізації державної політики  у сфері соціального захисту населення на території громади</w:t>
      </w:r>
      <w:r>
        <w:rPr>
          <w:rFonts w:ascii="Times New Roman" w:hAnsi="Times New Roman"/>
          <w:color w:val="000000"/>
          <w:szCs w:val="28"/>
        </w:rPr>
        <w:t xml:space="preserve"> за 9 місяців 2025 року було опрацьовано 934 звернення щодо нарахування державних соціальних допомог, а саме: 492 щодо нарахування ДСД, 129 пільг та 79 субсидій; 114 звернення щодо забезпечення допоміжними засобами реабілітації; оформлено 31 посвідчення батьків багатодітної сім’ї, продовжено статус батькам 27, 87 посвідчень дитини  багатодітної сім’ї, продовжено статус дітям 18,  44 довідки батьків багатодітної </w:t>
      </w:r>
      <w:r>
        <w:rPr>
          <w:rFonts w:ascii="Times New Roman" w:hAnsi="Times New Roman"/>
          <w:color w:val="000000"/>
          <w:szCs w:val="28"/>
        </w:rPr>
        <w:lastRenderedPageBreak/>
        <w:t>сім’ї та  101 довідку дитини  багатодітної сім’ї. Проведено анонімне зовнішнє опитування для отримувачів соціальних послуг Боярської громади та осіб з категорії внутрішньо переміщених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7 засідань опікунської ради на якому було розглянуто 9 заяв щодо розгляду можливості підготовки Подання до суду про призначення опікуна/піклувальника повнолітнім особам, які за станом здоров'я не можуть самостійно захищати свої права та виконувати покладені на них обов'язки.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діяльності спеціалізованих служб підтримки осіб які постраждали від домашнього насильства та (або) насильства за ознакою статі</w:t>
      </w:r>
      <w:r>
        <w:rPr>
          <w:rFonts w:ascii="Times New Roman" w:hAnsi="Times New Roman"/>
          <w:color w:val="000000"/>
          <w:szCs w:val="28"/>
        </w:rPr>
        <w:t xml:space="preserve">: Проведено 3 засідання координаційної ради з питань сімейної політики, гендерної рівності, запобігання та протидії домашньому насильству та/або насильству за ознакою статі, протидії торгівлі людьми в Боярській міській територіальній громаді.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З метою забезпечення взаємодії з громадськими/благодійними організаціями</w:t>
      </w:r>
      <w:r>
        <w:rPr>
          <w:rFonts w:ascii="Times New Roman" w:hAnsi="Times New Roman"/>
          <w:color w:val="000000"/>
          <w:szCs w:val="28"/>
        </w:rPr>
        <w:t xml:space="preserve"> впродовж 9 місяців 2025 року продовжується співпраця та реалізація проєктів з:</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 БО БФ “Стабілізейшен Суппорт Сервісез”, проєкт: “Підтримка спроможностей органів соціального захисту населення”;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МБО «Благодійний фонд «СОС Дитячі Містечка» Україна, проєкт: «Право на сім’ю: усунення системних прогалин – підтримка реформ системи захисту дітей в Україні»;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БФ “ПРАВО НА ЗАХИСТ”;</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Погіршення показників роботи за 9 місяців 2025 року не спостерігалось.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Проблемні питання</w:t>
      </w:r>
      <w:r>
        <w:rPr>
          <w:rFonts w:ascii="Times New Roman" w:hAnsi="Times New Roman"/>
          <w:color w:val="000000"/>
          <w:szCs w:val="28"/>
        </w:rPr>
        <w:t xml:space="preserve">, які негативно впливають на розвиток територіальної громади в сфері соціального захисту населення </w:t>
      </w:r>
      <w:r>
        <w:rPr>
          <w:rFonts w:ascii="Times New Roman" w:hAnsi="Times New Roman"/>
          <w:b/>
          <w:bCs/>
          <w:color w:val="000000"/>
          <w:szCs w:val="28"/>
        </w:rPr>
        <w:t>відсутні.</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Підтримка дітей та сім’ї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Служба у справах дітей Боярської міської ради у 2025 році продовжує реалізацію стратегічної програми «Щаслива дитина – Успішна родина» (2022–2026 рр.), мета якої – створення безпечного, підтримувального середовища для </w:t>
      </w:r>
      <w:r>
        <w:rPr>
          <w:rFonts w:ascii="Times New Roman" w:hAnsi="Times New Roman"/>
          <w:color w:val="000000"/>
          <w:szCs w:val="28"/>
        </w:rPr>
        <w:lastRenderedPageBreak/>
        <w:t>дітей, зокрема тих, що позбавлені батьківського піклування, та розвиток сімейних форм виховання в громаді.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Упродовж III кварталу 2025 року Служба провела значну роботу в таких ключових напрямках: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1. Розвиток сімейних форм виховання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Боярська міська громада активно впроваджує інноваційні сімейні форми виховання як альтернативу інституційним закладам. Це дозволяє забезпечити дитині максимально наближені до родинних умови розвитку.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14 березня 2025 року на території громади проведено захід з адвокації запровадження патронатного виховання – нової форми тимчасової сімейної опіки, яка забезпечує підтримку дітям у кризових ситуаціях.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8 квітня 2025 року дві родини з числа мешканців громади було направлено на навчання з метою створення дитячих будинків сімейного типу (ДБСТ). Процес супроводжується фахівцями ССД та ЦСС.</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кінець III кварталу 2025 року в громаді функціонує 13 форм сімейного виховання дві з яких є новостворені дитячі будинки сімейного типу, у яких виховується 153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2. Профілактична діяльність та соціальний супровід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53 рейдів, зокрема: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вокзалах – для виявлення та попередження дитячої безпритульності;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вулицях – для ідентифікації дітей без належного нагляду;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періоди шкільних канікул – для зниження ризиків соціального занедбання.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3. Підтримка внутрішньо переміщених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Особливу увагу Служба приділяє підтримці дітей, що перебувають у сімейних формах виховання серед внутрішньо переміщених осіб (ВПО).</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містечку Хансена проживають 11 родин ВПО, де виховується 82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Родини отримують повний спектр послуг, зокрема: соціальний супровід; психологічна підтримка; доступ до освітніх програм та гуртків; матеріально-технічне забезпечення побуту.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У межах програми «Щаслива дитина – Успішна родина» дітям надано сучасні засоби комунікації – павербанки, навушники, портативні колонки, що особливо важливо в умовах воєнного стану для забезпечення зв’язку, навчання та безпеки.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i/>
          <w:iCs/>
          <w:color w:val="000000"/>
          <w:szCs w:val="28"/>
        </w:rPr>
        <w:t>4. Співпраця та підтримка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Діяльність ССД реалізується у тісній співпраці з: Центром соціальних служб Боярської міської ради; навчальними та медичними закладами; міжнародними та національними партнерами.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Завдяки цій взаємодії розширюється доступ до ресурсів, фахових послуг та нових можливостей для соціальної адаптації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період літніх канікул в 2025 році, завдяки сприянню та фінансовій підтримці програми «Щаслива дитина – успішна родина», було оздоровлено 100 дітей, серед яких 36 — діти-сироти.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 програмі було витрачено на закупівлю путівок 453 600,00 гривень, та на забезпечення транспортними послугами в тому числі за межі України в рамках меморандумів з країнами партнерами 451 799,00 гривень.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на кінець кварталу в громаді за допомогою субвенційних коштів було придбано два будинки в яких будуть функціонувати родини, а саме батьки вихователі де будуть виховатися по 10 дітей сиріт та дій позбавлених батьківського піклування.</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культурного та духовного середовища, туристичного потенціалу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 громаді діють: КУ «Боярський краєзнавчий музей» та його відділ «Музей Миколи Пимоненка у селі Малютянка», КЗ «Боярська публічна бібліотека» (включаючи сільські бібліотеки-філії), КЗ «Культурно-мистецький центр» (включаючи сільські філії), КПМЗ «Боярська дитяча хореографічна школа» та КПМЗ «Боярська дитяча мистецька школа». Всі заклади працюють відповідно до умов воєнного стану і вся їхня діяльність відбувається з дотриманням безпекових вимог. Заходи, відповідно до планів заходів на рік здійснюються в обов’язковому </w:t>
      </w:r>
      <w:r>
        <w:rPr>
          <w:rFonts w:ascii="Times New Roman" w:hAnsi="Times New Roman"/>
          <w:color w:val="000000"/>
          <w:szCs w:val="28"/>
        </w:rPr>
        <w:lastRenderedPageBreak/>
        <w:t>порядку. Про що відбувається постійне звітування перед Департаментом культури та туризму Київської обласної державної адміністрації.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ІІІ квартал  2025 року комунальними закладами і установами в сфері культури проведено 187 заходів. Це заходи з нагоди державних свят, пам’ятних дат та заходи місцевого значення, такі як: захід до Дня Української Державності, Дня Державного Прапора та Дня незалежності України, Дня пам’яті захисників України, Дня міста та Днів сіл громади, а також урочиста Академія з нагоди 100-річчя від дня смерті Володимира Самійленка, яка об’єднала літературознавців, істориків і краєзнавців з усієї України, а також </w:t>
      </w:r>
      <w:r>
        <w:rPr>
          <w:szCs w:val="28"/>
        </w:rPr>
        <w:t>лауреатів</w:t>
      </w:r>
      <w:r>
        <w:rPr>
          <w:rFonts w:ascii="Times New Roman" w:hAnsi="Times New Roman"/>
          <w:color w:val="000000"/>
          <w:szCs w:val="28"/>
        </w:rPr>
        <w:t xml:space="preserve"> Літературно-мистецької премії імені Володимира Самійленка та громадськість. Участь у Академії взяв лауреат Національної Премії імені Т.Шевченка, народний артист України, почесний житель Боярки та Київської області Тарас Компаніченко разом з гуртом «Хорея Козацька». З нагоди відзначення Дня молоді відбувся рок-концерт, присвячений пам’яті Євгена Коваленка, боярського музиканта, який загинув внаслідок ворожої атаки росії на місто Вінницю.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Комунальним закладом «Культурно-мистецький центр» (включаючи сільські клубні заклади) на постійній основі проходять покази фільмів та мультфільмів, у співпраці зі столичними театрами регулярно проходять театральні вистави, постійно діють гуртки, тощо.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КЗ «Боярська публічна бібліотека» (включаючи сільські бібліотеки-філії)  постійно відбуваються викладки тематичних книжок, творчі зустрічі та літературні вечори, майстер – класи для дітей та дорослих, презентації книг, зокрема: творча зустріч з поетесою Марією Колодюк, «Усе минає, слово вічне» голосові читання з режисером Тетяною Вікуловою, приурочені до 100-річчя з дня поховання Володимира Самійленка у Будаївці, творча зустріч з письменницею Оленою Максименко, творча зустріч з поетом-воїном Богданом Назаренком, лекція «Зброя нескорених. Шлях від минулого до сучасності» з Антоном Шаригіним, учасником війни, зустріч з письменником Олегом Гавришем, презентація книги «Казки баби Гавришихи». Також проводяться майстер-класи для дітей з різних видів творчості. Комунальним закладом здійснюється співпраця </w:t>
      </w:r>
      <w:r>
        <w:rPr>
          <w:rFonts w:ascii="Times New Roman" w:hAnsi="Times New Roman"/>
          <w:color w:val="000000"/>
          <w:szCs w:val="28"/>
        </w:rPr>
        <w:lastRenderedPageBreak/>
        <w:t>з іноземними містами та установами–партнерами, обміни літературою. Також представники Боярської публічної бібліотеки мали нагоду обміну досвідом з бібліотекою в місті-побратимі Ропажі (Республіка Латвія). З нагоди Всеукраїнського дня бібліотек відбулись урочистості та відзначення працівників бібліотек-філій подяками міського голови.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КУ «Боярський краєзнавчий музей» та його відділі «Музей Миколи Пимоненка у селі Малютянка» проводяться художні та мистецькі виставки. Зокрема, відкриття виставки «Візуальний щоденник війни» художниці-ілюстраторки Антоніни Семенової, проводяться лекції, презентації та творчі заняття та краєзнавчі екскурсії. В рамках реалізації проєкту «Життєва енергія» від Фонду Боярської громади за фінансової підтримки Global  Fund for Community  Foundations (GFCF) та донаторів благодійної програми Фонд Боярської громади  «БЗкошт: Спільнокошт Земляків» відбулась низка краєзнавчих екскурсій визначними місцями громади. З нагоди Дня міста Боярка відбувся традиційний художній пленер, у якому взяло участь 30 художників, з них 4 учасниці з партнерських громад-форпостів у рамках національного проєкту «Пліч-о-пліч. Згуртовані громади». З метою співпраці з членами родин загиблих Захисників України, членів родини військовослужбовців та самими військовослужбовцями у Боярському краєзнавчому музеї відбулась виставка картин гуртка «Мальви», а також «Титанові Арт» виставка картин військових та волонтерів.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Вихованці КПМЗ «Боярська дитяча хореографічна школа» та КПМЗ «Боярська дитяча мистецька школа» активно беруть участь у численних концертах та культурних заходах гідно представляючи Боярську міську територіальну громаду, зокрема і в міських святкуваннях і конкурсах. У вересні відбувся урочистий концерт  відкриття танцювального сезону КПМЗ «Боярська дитяча хореографічна школа» де учні продемонстрували високий рівень виконавської майстерності. КПМЗ «Боярська дитяча школа мистецтв» гідно представила заклад виступом хору молодшого та старшого класів, відкривши урочисту частину під час відзначення Дня міста.</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lastRenderedPageBreak/>
        <w:t>Розвиток молодіжної інфраструктури, підтримка соціальних проєктів з розвитку молоді, її національно-патріотичного виховання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Реалізація молодіжної політики та національно-патріотичного виховання у Боярській міській територіальній громаді здійснюється в рамках заходів Програми підтримки та розвитку молоді і молодіжної політики та національно-патріотичного виховання на 2024-2025 роки.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метою підвищення компетентностей у сфері української національної та громадської ідентичності молоді, популяризації української культури, мови і народних традицій та вивчення духовно-історичної спадщини України молодь громади залучається до участі в заходах до державних свят та пам’ятних дат (День Соборності України, День Державного Герба України, День Героїв Небесної сотні, День пам’яті Т.Г. Шевченка, День героїв, День пам’яті та примирення, День скорботи і вшанування пам'яті жертв війни в Україні, День Конституції України День Української Державності, День незалежності України, День пам’яті захисників України), які проводились в громаді.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метою підтримки та реалізації творчих здібностей дітей і молоді до дня пам’яті Т.Г. Шевченка був проведений конкурс читців «Живе слово Кобзаря».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Культурно-мистецькому центрі Боярської міської ради проводились покази кінофільмів, в тому числі спрямованих на національно-патріотичне виховання.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 метою організації змістовного дозвілля молоді і реалізації молодіжної політики та національно-патріотичного виховання в молодіжному просторі проводились тренінги: «Надання першої допомоги», «Рецепти стресостійкості», «Робота з тривожними думками», «Майстерність спілкування», «Ризики, пов’язані з вибухонебезпечними предметами», «Насильство. Види. Протидія», «Сексуальне та репродуктивне здоров'я», «Ресурси всередині нас», «Надання домедичної допомоги», «Мінна безпека», лекції «Нетривіальна історія Боярки», «Червоні прапорці у стосунках, як розпізнати токсичність» та майстер-класи з створення картини афірмації, з писанкарства, декупажу, розпису екошоперів до «Дня вишиванки», виготовлення гелевих свічок, виготовлення паперових корзинок, стрінг-арту, створення листівки pop-up, розпису екоторб та шоперів, </w:t>
      </w:r>
      <w:r>
        <w:rPr>
          <w:rFonts w:ascii="Times New Roman" w:hAnsi="Times New Roman"/>
          <w:color w:val="000000"/>
          <w:szCs w:val="28"/>
        </w:rPr>
        <w:lastRenderedPageBreak/>
        <w:t>ляльки-мотанки, арттерапія  «Чарівний тюльпан з вовни», сесія «SPRINT», кінопокази, настільні ігри «Мафія», «Коржик» та інші.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Молодіжною радою при Боярській міській раді проведений міні-турнір з кіберспорту.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До Дня Валентина був організований благодійний рок-концерт за участю талановитої молоді громади.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Для активної молоді та зацікавлених батьків КЗ КОР «Пластовий вишкільний центр» була проведена презентація «Національної скаутської організації України – ПЛАСТ».</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нагоди річниці з дня відкриття молодіжного простору «МолодьSpace» був організований святковий захід з різними активностями для молоді.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Дня молоді, був організований благодійний рок-концерт пам’яті молодого музиканта боярчанина Є.Коваленка та відзначені відмінники загальноосвітніх навчальних закладів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молодь громади залучалась до участі в таборівках, спрямованих на удосконалення системи військово-патріотичного виховання молоді, отримання знань і навичок з виживання в екстремальних умовах.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Крім того, постійно проводиться інформаційна робота для молоді на сторінках Боярського молодіжного простору «МолодьSpace» в соціальних мережах.</w:t>
      </w:r>
    </w:p>
    <w:p w:rsidR="007E149F" w:rsidRDefault="007E149F" w:rsidP="00307770">
      <w:pPr>
        <w:pBdr>
          <w:top w:val="nil"/>
          <w:left w:val="nil"/>
          <w:bottom w:val="nil"/>
          <w:right w:val="nil"/>
          <w:between w:val="nil"/>
        </w:pBdr>
        <w:spacing w:line="360" w:lineRule="auto"/>
        <w:ind w:leftChars="0" w:left="0" w:firstLineChars="202" w:firstLine="545"/>
        <w:jc w:val="both"/>
        <w:rPr>
          <w:rFonts w:ascii="Times New Roman" w:hAnsi="Times New Roman"/>
          <w:color w:val="000000"/>
          <w:sz w:val="27"/>
          <w:szCs w:val="27"/>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фізичної культури та спорту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Для забезпечення розвитку фізичної культури серед населення та підтримки спорту в Боярській міській територіальній громаді Боярською міською радою затверджено три Програми: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Програма розвитку фізичної культури та спорту Боярської міської територіальної громади на 2025 рік, видатки для виконання якої складають 7 492 785,00 гривень,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Програма розвитку футболу на території Боярської міської територіальної громади на 2021-2025 роки, видатки для виконання якої (на 2025 рік) складають 150000,00 гривень,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Програма розвитку волейболу на території Боярської міської територіальної громади на 2021-2025 роки, видатки (на 2025 рік) для виконання якої складають 350 000,00 гривень.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території громади діє два спортивні заклади, де проводять підготовку юних спортсменів: комунальний заклад «Спортивний клуб «Боярка» Боярської міської ради та комунальний заклад «Дитячо-юнацька спортивна школа «Максимум»» Боярської міської ради.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Комунальний заклад «Спортивний клуб «Боярка» забезпечує розвиток здібностей з футболу, тенісу, настільного тенісу, дзюдо, пауерліфтингу. В спортивному клубі тренується 230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ДЮСШ «Максимум» з нового навчального року тренується 449 дітей та працюють відділення: тхеквандо ВТФ, таеквон-до ІТФ, бокс, кікбоксінг WAKO, дзюдо, вільна боротьба, волейбол, важка атлетика, легка атлетика, чирлідинг.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Провідні спортсмени Боярської громади взяли участь у змаганнях різного рівня (Відкриті першості міст України, Чемпіонати Київської області та України, Всеукраїнські змагання, Кубки України, Європи а Міжнародні тощо).</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звітний період закладами проведені та взята участь у 45 змаганнях.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Дня фізичної культури та спорту підготовлено та проведено на стадіоні «Зеніт» спортивно-святковий захід.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До Дня міста спортивними закладами громади організовано та проведено: Кубок міського голови з волейболу та Кубок міського голови з настільного тенісу серед дорослих та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 рамках реалізації Програми розвитку волейболу на території Боярської міської територіальної громади на 2021-2025 роки ГО «Боярська федерація футболу» на стадіоні «Зеніт» м. Боярка та «Нептун» с. Забір’я проведено Чемпіонат району з футболу.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В рамках соціального проекту програми Президента Володимира Зеленського «Здорова Україна» триває реалізація проекту «Активні парки – локації здорової України», який має на меті створення умов для фізичної активності громадян та популяризації здорового способу життя серед українців. На території Боярської міської територіальної громади працює п’ять локацій «Активні парки»: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Клуб «Баланс»;</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Клуб «Активна Тарасівка»;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Клуб «Боярка спортивна»;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Боярський клуб скандинавської ходьби»;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«Активні парки «Нестримні» м. Боярка (етап - 75).</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Відновлення інфраструктури та житлове будівництво</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Протягом 9 місяців 2025 року внаслідок збройної агресії рф пошкоджено 5 об’єктів інфраструктури.</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 xml:space="preserve">Станом на 01.10.2025 дані об’єкти не відновлено, відстуні держані програми. </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Були руйновання будівель приватного бізнесу (всього – 2 од.), які будуть відновлені за власні кошти суб’єктів господарювання.</w:t>
      </w: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звітного періоду рішенням виконкому для садибної житлової забудови було видано 46 будівельних паспортів.</w:t>
      </w:r>
    </w:p>
    <w:p w:rsidR="007E149F" w:rsidRDefault="007E149F"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p>
    <w:p w:rsidR="007E149F" w:rsidRDefault="00445E8A" w:rsidP="00307770">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дорожнього господарства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звітного періоду комунальними підприємствами Боярської міської ради «Громада» та «Боярське ГВУЖКГ» проведені поточні ремонти автомобільних доріг комунальної власності в населених пунктах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 звітний період КП «Громада» виконано поточний (ямковий) ремонт доріг на загальну суму 5 318,54 тис. грн.</w:t>
      </w:r>
    </w:p>
    <w:p w:rsidR="007E149F" w:rsidRDefault="00445E8A"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r>
        <w:rPr>
          <w:rFonts w:ascii="Times New Roman" w:hAnsi="Times New Roman"/>
          <w:color w:val="222222"/>
          <w:szCs w:val="28"/>
        </w:rPr>
        <w:t>Протягом 9 місяців 2025 року власними силами КП «БГВУЖКГ» щебенево-ступеневим методом були проведені роботи з ремонту доріг на 22 вулицях, загальною площею 2420 м2, на загальну суму 847000,00 грн.</w:t>
      </w:r>
      <w:r>
        <w:rPr>
          <w:rFonts w:ascii="Times New Roman" w:hAnsi="Times New Roman"/>
          <w:color w:val="000000"/>
          <w:szCs w:val="28"/>
        </w:rPr>
        <w:t xml:space="preserve"> та </w:t>
      </w:r>
      <w:r>
        <w:rPr>
          <w:rFonts w:ascii="Times New Roman" w:hAnsi="Times New Roman"/>
          <w:color w:val="222222"/>
          <w:szCs w:val="28"/>
        </w:rPr>
        <w:t xml:space="preserve">підрядними </w:t>
      </w:r>
      <w:r>
        <w:rPr>
          <w:rFonts w:ascii="Times New Roman" w:hAnsi="Times New Roman"/>
          <w:color w:val="222222"/>
          <w:szCs w:val="28"/>
        </w:rPr>
        <w:lastRenderedPageBreak/>
        <w:t>організаціями були виконані роботи з поточного ремонту асфальтобетонного на 30 вулицях, загальною площею 5515,00 м2 на загальну суму 4637277,32 грн.</w:t>
      </w:r>
    </w:p>
    <w:p w:rsidR="007E149F" w:rsidRDefault="00445E8A"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222222"/>
          <w:szCs w:val="28"/>
        </w:rPr>
      </w:pPr>
      <w:r>
        <w:rPr>
          <w:rFonts w:ascii="Times New Roman" w:hAnsi="Times New Roman"/>
          <w:color w:val="222222"/>
          <w:szCs w:val="28"/>
        </w:rPr>
        <w:t>В незадовільному стані залишається майже 50% вулично-дорожньої мережі громади. Незадовільний технічний стан вулично-дорожньої мережі громади обумовлений, в першу чергу, недостатнім фінансуванням на її розвиток.</w:t>
      </w:r>
    </w:p>
    <w:p w:rsidR="007E149F" w:rsidRDefault="007E149F"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 xml:space="preserve">Забезпечення населення якісними комунальними послугами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Упродовж січня-вересня 2025 року </w:t>
      </w:r>
      <w:r>
        <w:rPr>
          <w:rFonts w:ascii="Times New Roman" w:hAnsi="Times New Roman"/>
          <w:b/>
          <w:bCs/>
          <w:color w:val="000000"/>
          <w:szCs w:val="28"/>
        </w:rPr>
        <w:t>Комунальним підприємством “Боярка-Водоканал” Боярської міської ради</w:t>
      </w:r>
      <w:r>
        <w:rPr>
          <w:rFonts w:ascii="Times New Roman" w:hAnsi="Times New Roman"/>
          <w:color w:val="000000"/>
          <w:szCs w:val="28"/>
        </w:rPr>
        <w:t xml:space="preserve"> за рахунок обігових коштів виконано комплекс робіт, спрямованих на підтримання та покращення функціонування систем водопостачання та водовідведення на території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Упродовж 9 місяців 2025 року </w:t>
      </w:r>
      <w:r>
        <w:rPr>
          <w:rFonts w:ascii="Times New Roman" w:hAnsi="Times New Roman"/>
          <w:b/>
          <w:bCs/>
          <w:color w:val="000000"/>
          <w:szCs w:val="28"/>
        </w:rPr>
        <w:t>Комунальним підприємством “Боярське ГВУЖКГ”</w:t>
      </w:r>
      <w:r>
        <w:rPr>
          <w:rFonts w:ascii="Times New Roman" w:hAnsi="Times New Roman"/>
          <w:color w:val="000000"/>
          <w:szCs w:val="28"/>
        </w:rPr>
        <w:t xml:space="preserve"> </w:t>
      </w:r>
      <w:r>
        <w:rPr>
          <w:rFonts w:ascii="Times New Roman" w:hAnsi="Times New Roman"/>
          <w:b/>
          <w:bCs/>
          <w:color w:val="000000"/>
          <w:szCs w:val="28"/>
        </w:rPr>
        <w:t>Боярської міської ради</w:t>
      </w:r>
      <w:r>
        <w:rPr>
          <w:rFonts w:ascii="Times New Roman" w:hAnsi="Times New Roman"/>
          <w:color w:val="000000"/>
          <w:szCs w:val="28"/>
        </w:rPr>
        <w:t xml:space="preserve"> виконано комплекс робіт, спрямованих на підтримання та покращення функціонування систем теплопостачання, технічне обслуговування житлового фонду, ліфтів та проведення благоустрою на території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 місцевого бюджету витрачено коштів 1) на обслуговування житлового фонду 806,36 тис.грн., 2) забезпечення безперебійної експлуатації ліфтів 592,71 тис.грн., 3) організацію благоустрою населених пунктів 23 864,69 тис. грн., з них придбання матеріалів – 3 389,37 тис. грн., ремонт спецтехніки та інше – 2 411,57 тис.грн., придбання обладнання – 493,69 тис.грн., заробітна плата - 17 570,06 тис.грн., 4) забезпечення діяльності з виробництва, транспортування, постачання теплової енергії – 521,97 тис.грн.</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Фінансова допомога підприємству з місцевого бюджету за надані житлово-комунальні послуги (теплопостачання для населення) склала в сумі 16 230,55 тис.грн.</w:t>
      </w:r>
    </w:p>
    <w:p w:rsidR="007E149F" w:rsidRDefault="00445E8A">
      <w:pPr>
        <w:pBdr>
          <w:top w:val="nil"/>
          <w:left w:val="nil"/>
          <w:bottom w:val="nil"/>
          <w:right w:val="nil"/>
          <w:between w:val="nil"/>
        </w:pBdr>
        <w:spacing w:line="240" w:lineRule="auto"/>
        <w:ind w:left="0" w:hanging="3"/>
        <w:jc w:val="both"/>
        <w:rPr>
          <w:rFonts w:ascii="Times New Roman" w:hAnsi="Times New Roman"/>
          <w:color w:val="000000"/>
          <w:szCs w:val="28"/>
        </w:rPr>
      </w:pPr>
      <w:r>
        <w:rPr>
          <w:rFonts w:ascii="Times New Roman" w:hAnsi="Times New Roman"/>
          <w:color w:val="000000"/>
          <w:szCs w:val="28"/>
        </w:rPr>
        <w:t>Стан розрахунків за використаний газ і електроенергію комунальними підприємствами Боярської міської ради:</w:t>
      </w:r>
    </w:p>
    <w:tbl>
      <w:tblPr>
        <w:tblStyle w:val="aff5"/>
        <w:tblW w:w="10065" w:type="dxa"/>
        <w:tblInd w:w="-284" w:type="dxa"/>
        <w:tblLayout w:type="fixed"/>
        <w:tblLook w:val="0000" w:firstRow="0" w:lastRow="0" w:firstColumn="0" w:lastColumn="0" w:noHBand="0" w:noVBand="0"/>
      </w:tblPr>
      <w:tblGrid>
        <w:gridCol w:w="3261"/>
        <w:gridCol w:w="1134"/>
        <w:gridCol w:w="851"/>
        <w:gridCol w:w="1134"/>
        <w:gridCol w:w="1134"/>
        <w:gridCol w:w="1276"/>
        <w:gridCol w:w="1275"/>
      </w:tblGrid>
      <w:tr w:rsidR="007E149F">
        <w:trPr>
          <w:cantSplit/>
          <w:trHeight w:val="389"/>
        </w:trPr>
        <w:tc>
          <w:tcPr>
            <w:tcW w:w="326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Найменування</w:t>
            </w:r>
          </w:p>
        </w:tc>
        <w:tc>
          <w:tcPr>
            <w:tcW w:w="6804"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"БГВУЖКГ</w:t>
            </w:r>
          </w:p>
        </w:tc>
      </w:tr>
      <w:tr w:rsidR="007E149F">
        <w:trPr>
          <w:cantSplit/>
          <w:trHeight w:val="291"/>
        </w:trPr>
        <w:tc>
          <w:tcPr>
            <w:tcW w:w="3261"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76" w:lineRule="auto"/>
              <w:ind w:hanging="2"/>
              <w:rPr>
                <w:rFonts w:ascii="Times New Roman" w:hAnsi="Times New Roman"/>
                <w:color w:val="000000"/>
                <w:sz w:val="24"/>
                <w:szCs w:val="24"/>
              </w:rPr>
            </w:pP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01.01.2024</w:t>
            </w:r>
          </w:p>
        </w:tc>
        <w:tc>
          <w:tcPr>
            <w:tcW w:w="851"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01.10.2024</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276"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27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r>
      <w:tr w:rsidR="007E149F">
        <w:trPr>
          <w:trHeight w:val="686"/>
        </w:trPr>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lastRenderedPageBreak/>
              <w:t>Заборгованість за спожитий природний газ (тис. грн.)</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15366,50</w:t>
            </w:r>
          </w:p>
        </w:tc>
        <w:tc>
          <w:tcPr>
            <w:tcW w:w="851"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16524,4</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1157,9</w:t>
            </w:r>
          </w:p>
        </w:tc>
        <w:tc>
          <w:tcPr>
            <w:tcW w:w="1134"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20998,38</w:t>
            </w:r>
          </w:p>
        </w:tc>
        <w:tc>
          <w:tcPr>
            <w:tcW w:w="1276"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21563,8</w:t>
            </w:r>
          </w:p>
        </w:tc>
        <w:tc>
          <w:tcPr>
            <w:tcW w:w="127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565,42</w:t>
            </w:r>
          </w:p>
        </w:tc>
      </w:tr>
      <w:tr w:rsidR="007E149F">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Заборгованість за електроенергію (тис. грн.)</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1545,40</w:t>
            </w:r>
          </w:p>
        </w:tc>
        <w:tc>
          <w:tcPr>
            <w:tcW w:w="851"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468,8</w:t>
            </w:r>
          </w:p>
        </w:tc>
        <w:tc>
          <w:tcPr>
            <w:tcW w:w="113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-1076,6</w:t>
            </w:r>
          </w:p>
        </w:tc>
        <w:tc>
          <w:tcPr>
            <w:tcW w:w="1134"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3435,74</w:t>
            </w:r>
          </w:p>
        </w:tc>
        <w:tc>
          <w:tcPr>
            <w:tcW w:w="1276"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501,9</w:t>
            </w:r>
          </w:p>
        </w:tc>
        <w:tc>
          <w:tcPr>
            <w:tcW w:w="127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-2933,84</w:t>
            </w:r>
          </w:p>
        </w:tc>
      </w:tr>
      <w:tr w:rsidR="007E149F">
        <w:trPr>
          <w:cantSplit/>
          <w:trHeight w:val="252"/>
        </w:trPr>
        <w:tc>
          <w:tcPr>
            <w:tcW w:w="3261"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tc>
        <w:tc>
          <w:tcPr>
            <w:tcW w:w="6804" w:type="dxa"/>
            <w:gridSpan w:val="6"/>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"Боярка-Водоканал"</w:t>
            </w:r>
          </w:p>
        </w:tc>
      </w:tr>
      <w:tr w:rsidR="007E149F">
        <w:trPr>
          <w:cantSplit/>
        </w:trPr>
        <w:tc>
          <w:tcPr>
            <w:tcW w:w="3261" w:type="dxa"/>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76" w:lineRule="auto"/>
              <w:ind w:hanging="2"/>
              <w:rPr>
                <w:rFonts w:ascii="Times New Roman" w:hAnsi="Times New Roman"/>
                <w:color w:val="000000"/>
                <w:sz w:val="24"/>
                <w:szCs w:val="24"/>
              </w:rPr>
            </w:pP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01.01.2024</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01.10.2024</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 -)</w:t>
            </w:r>
          </w:p>
        </w:tc>
      </w:tr>
      <w:tr w:rsidR="007E149F">
        <w:tc>
          <w:tcPr>
            <w:tcW w:w="326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Заборгованість за електроенергію (тис. грн.)</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369,6</w:t>
            </w:r>
          </w:p>
        </w:tc>
        <w:tc>
          <w:tcPr>
            <w:tcW w:w="851"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2 686,5</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right"/>
              <w:rPr>
                <w:rFonts w:ascii="Times New Roman" w:hAnsi="Times New Roman"/>
                <w:color w:val="000000"/>
                <w:sz w:val="24"/>
                <w:szCs w:val="24"/>
              </w:rPr>
            </w:pPr>
            <w:r>
              <w:rPr>
                <w:rFonts w:ascii="Times New Roman" w:hAnsi="Times New Roman"/>
                <w:color w:val="000000"/>
                <w:sz w:val="24"/>
                <w:szCs w:val="24"/>
              </w:rPr>
              <w:t>+2 316,9</w:t>
            </w:r>
          </w:p>
        </w:tc>
        <w:tc>
          <w:tcPr>
            <w:tcW w:w="1134"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426,7</w:t>
            </w:r>
          </w:p>
        </w:tc>
        <w:tc>
          <w:tcPr>
            <w:tcW w:w="127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1 827,8</w:t>
            </w:r>
          </w:p>
        </w:tc>
        <w:tc>
          <w:tcPr>
            <w:tcW w:w="1275"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pacing w:line="240" w:lineRule="auto"/>
              <w:ind w:hanging="2"/>
              <w:rPr>
                <w:rFonts w:ascii="Times New Roman" w:hAnsi="Times New Roman"/>
                <w:color w:val="000000"/>
                <w:sz w:val="24"/>
                <w:szCs w:val="24"/>
              </w:rPr>
            </w:pPr>
            <w:r>
              <w:rPr>
                <w:rFonts w:ascii="Times New Roman" w:hAnsi="Times New Roman"/>
                <w:color w:val="000000"/>
                <w:sz w:val="24"/>
                <w:szCs w:val="24"/>
              </w:rPr>
              <w:t>+1 401,1</w:t>
            </w:r>
          </w:p>
        </w:tc>
      </w:tr>
    </w:tbl>
    <w:p w:rsidR="007E149F" w:rsidRDefault="00445E8A" w:rsidP="00307770">
      <w:pPr>
        <w:pBdr>
          <w:top w:val="nil"/>
          <w:left w:val="nil"/>
          <w:bottom w:val="nil"/>
          <w:right w:val="nil"/>
          <w:between w:val="nil"/>
        </w:pBdr>
        <w:spacing w:line="360" w:lineRule="auto"/>
        <w:ind w:leftChars="0" w:left="0" w:firstLineChars="210" w:firstLine="567"/>
        <w:jc w:val="both"/>
        <w:rPr>
          <w:rFonts w:ascii="Times New Roman" w:hAnsi="Times New Roman"/>
          <w:color w:val="000000"/>
          <w:sz w:val="27"/>
          <w:szCs w:val="27"/>
        </w:rPr>
      </w:pPr>
      <w:r>
        <w:rPr>
          <w:rFonts w:ascii="Times New Roman" w:hAnsi="Times New Roman"/>
          <w:color w:val="000000"/>
          <w:sz w:val="27"/>
          <w:szCs w:val="27"/>
        </w:rPr>
        <w:t>Станом на 01.10.2025 р. КП «БГВУЖКГ» мало заборгованість за спожиту електроенергію, це поточна заборгованість, яка на початку жовтня погашена. Основна причина існування заборгованості підприємства за спожитий природний газ – це заборгованість державного бюджету перед КП «БГВУЖКГ» за відшкодування різниці в тарифах по категорії споживачів «населення». Дана заборгованість буде поступово зменшуватися за рахунок сплати за спожиті комунальні послуги населенням та іншими категоріями споживачів.</w:t>
      </w:r>
    </w:p>
    <w:p w:rsidR="007E149F" w:rsidRDefault="00445E8A" w:rsidP="00307770">
      <w:pPr>
        <w:pBdr>
          <w:top w:val="nil"/>
          <w:left w:val="nil"/>
          <w:bottom w:val="nil"/>
          <w:right w:val="nil"/>
          <w:between w:val="nil"/>
        </w:pBdr>
        <w:spacing w:line="360" w:lineRule="auto"/>
        <w:ind w:leftChars="0" w:left="0" w:firstLineChars="210" w:firstLine="567"/>
        <w:jc w:val="both"/>
        <w:rPr>
          <w:rFonts w:ascii="Times New Roman" w:hAnsi="Times New Roman"/>
          <w:color w:val="000000"/>
          <w:sz w:val="27"/>
          <w:szCs w:val="27"/>
        </w:rPr>
      </w:pPr>
      <w:r>
        <w:rPr>
          <w:rFonts w:ascii="Times New Roman" w:hAnsi="Times New Roman"/>
          <w:color w:val="000000"/>
          <w:sz w:val="27"/>
          <w:szCs w:val="27"/>
        </w:rPr>
        <w:t>Станом на 01.10.2025р. КП “Боярка-Водоканал” мало заборгованість за спожиту електроенергію, це також поточна заборгованість, яка на початку жовтня погашена.</w:t>
      </w:r>
    </w:p>
    <w:p w:rsidR="007E149F" w:rsidRDefault="00445E8A" w:rsidP="00307770">
      <w:pPr>
        <w:pBdr>
          <w:top w:val="nil"/>
          <w:left w:val="nil"/>
          <w:bottom w:val="nil"/>
          <w:right w:val="nil"/>
          <w:between w:val="nil"/>
        </w:pBdr>
        <w:spacing w:line="360" w:lineRule="auto"/>
        <w:ind w:leftChars="0" w:left="0" w:firstLineChars="210" w:firstLine="588"/>
        <w:jc w:val="both"/>
        <w:rPr>
          <w:rFonts w:ascii="Times New Roman" w:hAnsi="Times New Roman"/>
          <w:color w:val="000000"/>
          <w:szCs w:val="28"/>
        </w:rPr>
      </w:pPr>
      <w:r>
        <w:rPr>
          <w:rFonts w:ascii="Times New Roman" w:hAnsi="Times New Roman"/>
          <w:color w:val="000000"/>
          <w:szCs w:val="28"/>
        </w:rPr>
        <w:t>Заборгованість населення перед КП «БГВУЖКГ» за послуги з теплопостачання становить, грн (без ПДВ):</w:t>
      </w:r>
    </w:p>
    <w:tbl>
      <w:tblPr>
        <w:tblStyle w:val="aff6"/>
        <w:tblW w:w="9747" w:type="dxa"/>
        <w:tblInd w:w="-108" w:type="dxa"/>
        <w:tblLayout w:type="fixed"/>
        <w:tblLook w:val="0000" w:firstRow="0" w:lastRow="0" w:firstColumn="0" w:lastColumn="0" w:noHBand="0" w:noVBand="0"/>
      </w:tblPr>
      <w:tblGrid>
        <w:gridCol w:w="1754"/>
        <w:gridCol w:w="1559"/>
        <w:gridCol w:w="1560"/>
        <w:gridCol w:w="1560"/>
        <w:gridCol w:w="1754"/>
        <w:gridCol w:w="1560"/>
      </w:tblGrid>
      <w:tr w:rsidR="007E149F">
        <w:tc>
          <w:tcPr>
            <w:tcW w:w="9747"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"БГВУЖКГ</w:t>
            </w:r>
          </w:p>
        </w:tc>
      </w:tr>
      <w:tr w:rsidR="007E149F">
        <w:trPr>
          <w:trHeight w:val="291"/>
        </w:trPr>
        <w:tc>
          <w:tcPr>
            <w:tcW w:w="1754"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01.01.2024</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01.010.2024</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w:t>
            </w:r>
          </w:p>
        </w:tc>
      </w:tr>
      <w:tr w:rsidR="007E149F">
        <w:tc>
          <w:tcPr>
            <w:tcW w:w="1754" w:type="dxa"/>
            <w:tcBorders>
              <w:top w:val="single" w:sz="8" w:space="0" w:color="000000"/>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20901,90</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16530,7</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-4371,2</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21964,00</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16743,7</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-5220,3</w:t>
            </w:r>
          </w:p>
        </w:tc>
      </w:tr>
    </w:tbl>
    <w:p w:rsidR="007E149F" w:rsidRDefault="00445E8A" w:rsidP="00307770">
      <w:pPr>
        <w:pBdr>
          <w:top w:val="nil"/>
          <w:left w:val="nil"/>
          <w:bottom w:val="nil"/>
          <w:right w:val="nil"/>
          <w:between w:val="nil"/>
        </w:pBdr>
        <w:shd w:val="clear" w:color="auto" w:fill="FFFFFF"/>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Заборгованість населення перед КП “Боярка-Водоканал” за послуги з централізованого водопостачання та централізованого водовідведення становить, грн (без ПДВ):</w:t>
      </w:r>
    </w:p>
    <w:tbl>
      <w:tblPr>
        <w:tblStyle w:val="aff7"/>
        <w:tblW w:w="9962" w:type="dxa"/>
        <w:tblInd w:w="-142" w:type="dxa"/>
        <w:tblLayout w:type="fixed"/>
        <w:tblLook w:val="0000" w:firstRow="0" w:lastRow="0" w:firstColumn="0" w:lastColumn="0" w:noHBand="0" w:noVBand="0"/>
      </w:tblPr>
      <w:tblGrid>
        <w:gridCol w:w="2005"/>
        <w:gridCol w:w="11"/>
        <w:gridCol w:w="1860"/>
        <w:gridCol w:w="1535"/>
        <w:gridCol w:w="1899"/>
        <w:gridCol w:w="1386"/>
        <w:gridCol w:w="1266"/>
      </w:tblGrid>
      <w:tr w:rsidR="007E149F">
        <w:trPr>
          <w:trHeight w:val="252"/>
        </w:trPr>
        <w:tc>
          <w:tcPr>
            <w:tcW w:w="9962" w:type="dxa"/>
            <w:gridSpan w:val="7"/>
            <w:tcBorders>
              <w:top w:val="single" w:sz="4" w:space="0" w:color="000000"/>
              <w:left w:val="single" w:sz="8" w:space="0" w:color="000000"/>
              <w:bottom w:val="single" w:sz="4"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b/>
                <w:bCs/>
                <w:color w:val="000000"/>
                <w:sz w:val="24"/>
                <w:szCs w:val="24"/>
              </w:rPr>
              <w:t>КП "БОЯРКА-ВОДОКАНАЛ”</w:t>
            </w:r>
          </w:p>
        </w:tc>
      </w:tr>
      <w:tr w:rsidR="007E149F">
        <w:tc>
          <w:tcPr>
            <w:tcW w:w="2016" w:type="dxa"/>
            <w:gridSpan w:val="2"/>
            <w:tcBorders>
              <w:top w:val="single" w:sz="4" w:space="0" w:color="000000"/>
              <w:left w:val="single" w:sz="8" w:space="0" w:color="000000"/>
              <w:bottom w:val="single" w:sz="8" w:space="0" w:color="000000"/>
              <w:right w:val="single" w:sz="4" w:space="0" w:color="000000"/>
            </w:tcBorders>
            <w:vAlign w:val="cente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01.01.2024</w:t>
            </w:r>
          </w:p>
        </w:tc>
        <w:tc>
          <w:tcPr>
            <w:tcW w:w="1860"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01.10.2024</w:t>
            </w:r>
          </w:p>
        </w:tc>
        <w:tc>
          <w:tcPr>
            <w:tcW w:w="153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38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26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 -)</w:t>
            </w:r>
          </w:p>
        </w:tc>
      </w:tr>
      <w:tr w:rsidR="007E149F">
        <w:trPr>
          <w:trHeight w:val="741"/>
        </w:trPr>
        <w:tc>
          <w:tcPr>
            <w:tcW w:w="2005" w:type="dxa"/>
            <w:tcBorders>
              <w:top w:val="nil"/>
              <w:left w:val="single" w:sz="8"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22 790,04</w:t>
            </w:r>
          </w:p>
        </w:tc>
        <w:tc>
          <w:tcPr>
            <w:tcW w:w="1871" w:type="dxa"/>
            <w:gridSpan w:val="2"/>
            <w:tcBorders>
              <w:top w:val="nil"/>
              <w:left w:val="single" w:sz="4" w:space="0" w:color="000000"/>
              <w:bottom w:val="single" w:sz="8" w:space="0" w:color="000000"/>
              <w:right w:val="single" w:sz="4"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26 284,48</w:t>
            </w:r>
          </w:p>
        </w:tc>
        <w:tc>
          <w:tcPr>
            <w:tcW w:w="1535"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+3 494,44</w:t>
            </w:r>
          </w:p>
        </w:tc>
        <w:tc>
          <w:tcPr>
            <w:tcW w:w="1899"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30 834,56</w:t>
            </w:r>
          </w:p>
        </w:tc>
        <w:tc>
          <w:tcPr>
            <w:tcW w:w="138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35 915,54</w:t>
            </w:r>
          </w:p>
        </w:tc>
        <w:tc>
          <w:tcPr>
            <w:tcW w:w="1266" w:type="dxa"/>
            <w:tcBorders>
              <w:top w:val="nil"/>
              <w:left w:val="nil"/>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tabs>
                <w:tab w:val="left" w:pos="0"/>
              </w:tabs>
              <w:spacing w:line="360" w:lineRule="auto"/>
              <w:ind w:hanging="2"/>
              <w:jc w:val="center"/>
              <w:rPr>
                <w:rFonts w:ascii="Times New Roman" w:hAnsi="Times New Roman"/>
                <w:color w:val="000000"/>
                <w:sz w:val="24"/>
                <w:szCs w:val="24"/>
              </w:rPr>
            </w:pPr>
            <w:r>
              <w:rPr>
                <w:rFonts w:ascii="Times New Roman" w:hAnsi="Times New Roman"/>
                <w:color w:val="000000"/>
                <w:sz w:val="24"/>
                <w:szCs w:val="24"/>
              </w:rPr>
              <w:t>+5 080,98</w:t>
            </w:r>
          </w:p>
        </w:tc>
      </w:tr>
    </w:tbl>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Заборгованість населення перед КП «Громада» за вивезення твердих побутових відходів становить, грн (без ПДВ)</w:t>
      </w:r>
    </w:p>
    <w:tbl>
      <w:tblPr>
        <w:tblStyle w:val="aff8"/>
        <w:tblW w:w="9747" w:type="dxa"/>
        <w:tblInd w:w="-108" w:type="dxa"/>
        <w:tblLayout w:type="fixed"/>
        <w:tblLook w:val="0000" w:firstRow="0" w:lastRow="0" w:firstColumn="0" w:lastColumn="0" w:noHBand="0" w:noVBand="0"/>
      </w:tblPr>
      <w:tblGrid>
        <w:gridCol w:w="1754"/>
        <w:gridCol w:w="1559"/>
        <w:gridCol w:w="1560"/>
        <w:gridCol w:w="1560"/>
        <w:gridCol w:w="1754"/>
        <w:gridCol w:w="1560"/>
      </w:tblGrid>
      <w:tr w:rsidR="007E149F">
        <w:tc>
          <w:tcPr>
            <w:tcW w:w="9747" w:type="dxa"/>
            <w:gridSpan w:val="6"/>
            <w:tcBorders>
              <w:top w:val="single" w:sz="8" w:space="0" w:color="000000"/>
              <w:left w:val="single" w:sz="4" w:space="0" w:color="000000"/>
              <w:bottom w:val="single" w:sz="8" w:space="0" w:color="000000"/>
              <w:right w:val="single" w:sz="8"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b/>
                <w:bCs/>
                <w:color w:val="000000"/>
                <w:sz w:val="24"/>
                <w:szCs w:val="24"/>
              </w:rPr>
              <w:t>КП "ГРОМАДА</w:t>
            </w:r>
          </w:p>
        </w:tc>
      </w:tr>
      <w:tr w:rsidR="007E149F">
        <w:trPr>
          <w:trHeight w:val="291"/>
        </w:trPr>
        <w:tc>
          <w:tcPr>
            <w:tcW w:w="1754"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01.01.2024</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01.10.2024</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01.01.2025</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01.10.2025</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w:t>
            </w:r>
          </w:p>
        </w:tc>
      </w:tr>
      <w:tr w:rsidR="007E149F">
        <w:tc>
          <w:tcPr>
            <w:tcW w:w="1754" w:type="dxa"/>
            <w:tcBorders>
              <w:top w:val="nil"/>
              <w:left w:val="single" w:sz="4" w:space="0" w:color="000000"/>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1672,2</w:t>
            </w:r>
          </w:p>
        </w:tc>
        <w:tc>
          <w:tcPr>
            <w:tcW w:w="1559"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 w:val="27"/>
                <w:szCs w:val="27"/>
              </w:rPr>
            </w:pPr>
            <w:r>
              <w:rPr>
                <w:rFonts w:ascii="Times New Roman" w:hAnsi="Times New Roman"/>
                <w:color w:val="000000"/>
                <w:sz w:val="27"/>
                <w:szCs w:val="27"/>
              </w:rPr>
              <w:t>2208,97</w:t>
            </w:r>
          </w:p>
        </w:tc>
        <w:tc>
          <w:tcPr>
            <w:tcW w:w="1560"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+536,77</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2246,39</w:t>
            </w:r>
          </w:p>
        </w:tc>
        <w:tc>
          <w:tcPr>
            <w:tcW w:w="1754" w:type="dxa"/>
            <w:tcBorders>
              <w:top w:val="nil"/>
              <w:left w:val="nil"/>
              <w:bottom w:val="single" w:sz="8" w:space="0" w:color="000000"/>
              <w:right w:val="single" w:sz="4" w:space="0" w:color="000000"/>
            </w:tcBorders>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2559,61</w:t>
            </w:r>
          </w:p>
        </w:tc>
        <w:tc>
          <w:tcPr>
            <w:tcW w:w="1560" w:type="dxa"/>
            <w:tcBorders>
              <w:top w:val="nil"/>
              <w:left w:val="single" w:sz="4" w:space="0" w:color="000000"/>
              <w:bottom w:val="single" w:sz="8" w:space="0" w:color="000000"/>
              <w:right w:val="single" w:sz="8" w:space="0" w:color="000000"/>
            </w:tcBorders>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4"/>
                <w:szCs w:val="24"/>
              </w:rPr>
            </w:pPr>
            <w:r>
              <w:rPr>
                <w:rFonts w:ascii="Times New Roman" w:hAnsi="Times New Roman"/>
                <w:color w:val="000000"/>
                <w:sz w:val="24"/>
                <w:szCs w:val="24"/>
              </w:rPr>
              <w:t>+313,22</w:t>
            </w:r>
          </w:p>
        </w:tc>
      </w:tr>
    </w:tbl>
    <w:p w:rsidR="007E149F" w:rsidRDefault="00445E8A" w:rsidP="00307770">
      <w:pPr>
        <w:pBdr>
          <w:top w:val="nil"/>
          <w:left w:val="nil"/>
          <w:bottom w:val="nil"/>
          <w:right w:val="nil"/>
          <w:between w:val="nil"/>
        </w:pBdr>
        <w:spacing w:line="360" w:lineRule="auto"/>
        <w:ind w:leftChars="0" w:left="0" w:firstLineChars="210" w:firstLine="567"/>
        <w:jc w:val="both"/>
        <w:rPr>
          <w:rFonts w:ascii="Times New Roman" w:hAnsi="Times New Roman"/>
          <w:color w:val="000000"/>
          <w:sz w:val="27"/>
          <w:szCs w:val="27"/>
        </w:rPr>
      </w:pPr>
      <w:r>
        <w:rPr>
          <w:rFonts w:ascii="Times New Roman" w:hAnsi="Times New Roman"/>
          <w:color w:val="000000"/>
          <w:sz w:val="27"/>
          <w:szCs w:val="27"/>
        </w:rPr>
        <w:lastRenderedPageBreak/>
        <w:t>Головною причиною існування вказаних заборгованостей є низька платоспроможність населення (воєнний стан, міграція).</w:t>
      </w:r>
    </w:p>
    <w:p w:rsidR="007E149F" w:rsidRDefault="007E149F">
      <w:pPr>
        <w:pBdr>
          <w:top w:val="nil"/>
          <w:left w:val="nil"/>
          <w:bottom w:val="nil"/>
          <w:right w:val="nil"/>
          <w:between w:val="nil"/>
        </w:pBdr>
        <w:spacing w:line="36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Енергоефективність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Відповідно до розпорядження міського голови від 20.03.2025 № 02-03/35 (зі змінами від 18.06.2025 № 02-03/82) створена група для реалізації субпроєктів: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 Боярський академічний ліцей «Лідер» за адресою: 08154, Україна, Київська обл., Фастівський р-н., м. Боярка, вул. П. Сагайдачного, буд. 62; 2.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Боярський академічний ліцей «Престиж» за адресою: 08154, Україна, Київська обл., Фастівський р-н., м. Боярка, вул. Хмельницького Б., будинок 57 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 xml:space="preserve"> Комунальне некомерційне підприємство «Лікарня інтенсивного лікування» Боярської міської ради за адресою Київська область, Фастівський район, місто Боярка вул. Соборності 51</w:t>
      </w:r>
    </w:p>
    <w:p w:rsidR="007E149F" w:rsidRDefault="00445E8A" w:rsidP="00307770">
      <w:pPr>
        <w:pBdr>
          <w:top w:val="nil"/>
          <w:left w:val="nil"/>
          <w:bottom w:val="nil"/>
          <w:right w:val="nil"/>
          <w:between w:val="nil"/>
        </w:pBdr>
        <w:spacing w:line="360" w:lineRule="auto"/>
        <w:ind w:leftChars="0" w:left="0" w:firstLineChars="0" w:firstLine="0"/>
        <w:jc w:val="both"/>
        <w:rPr>
          <w:rFonts w:ascii="Times New Roman" w:hAnsi="Times New Roman"/>
          <w:color w:val="000000"/>
          <w:szCs w:val="28"/>
        </w:rPr>
      </w:pPr>
      <w:r>
        <w:rPr>
          <w:rFonts w:ascii="Times New Roman" w:hAnsi="Times New Roman"/>
          <w:color w:val="000000"/>
          <w:szCs w:val="28"/>
        </w:rPr>
        <w:t>в рамках Проєкту «Енергоефективність громадських будівель в Україні».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Станом на 01.10.2025 року здійснюється розробка технічного завдання для подальшої розробки ПКД, Конкурс на проведення виконавця ПКД здійснює ЄІБ.</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Надання якісних послуг з перевезення пасажирів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 xml:space="preserve">За підсумками звітного періоду </w:t>
      </w:r>
      <w:r>
        <w:rPr>
          <w:rFonts w:ascii="Times New Roman" w:hAnsi="Times New Roman"/>
          <w:b/>
          <w:bCs/>
          <w:color w:val="222222"/>
          <w:szCs w:val="28"/>
          <w:highlight w:val="white"/>
        </w:rPr>
        <w:t>Комунальне підприємство «Транспортне Підприємство» Боярської міської ради</w:t>
      </w:r>
      <w:r>
        <w:rPr>
          <w:rFonts w:ascii="Times New Roman" w:hAnsi="Times New Roman"/>
          <w:color w:val="222222"/>
          <w:szCs w:val="28"/>
          <w:highlight w:val="white"/>
        </w:rPr>
        <w:t xml:space="preserve"> забезпечувало потреби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1)На чотирьох регулярних автобусних маршрутах на вкрай важливих для мешканців громади сполученнях: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регулярний автобусний міський маршрут № 5А «Боярський коледж екології і природних ресурсів – Рітейл Парк «ЯРД»;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регулярний міський автобусний маршрут №4 «Залізнична станція Боярка – Райтубдиспансер»;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 xml:space="preserve">регулярний автобусний приміський маршрут № 6 «Лікарня інтенсивного лікування, м. Боярка – Сільська рада, с. Дзвінкове»;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регулярний спеціальний маршрут ст.Тарасівка – містечко Хансена – Лікарня інтенсивного лікування.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lastRenderedPageBreak/>
        <w:t xml:space="preserve">2)Перевезення школярів до навчальних закладів в громади по вісьмох маршрутах.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3)За рахунок коштів місцевого та державного бюджетів для потреб громади придбано новий шкільний автобус, облаштований для перевезення дітей з обмеженими можливостями;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222222"/>
          <w:szCs w:val="28"/>
          <w:highlight w:val="white"/>
        </w:rPr>
      </w:pPr>
      <w:r>
        <w:rPr>
          <w:rFonts w:ascii="Times New Roman" w:hAnsi="Times New Roman"/>
          <w:color w:val="222222"/>
          <w:szCs w:val="28"/>
          <w:highlight w:val="white"/>
        </w:rPr>
        <w:t>4)Нерегулярні перевезення (гуманітарні, соціальні, спортивні, ритуальні, профорієнтаційні заходи, для військових потреб тощо).</w:t>
      </w:r>
    </w:p>
    <w:tbl>
      <w:tblPr>
        <w:tblStyle w:val="aff9"/>
        <w:tblW w:w="9619" w:type="dxa"/>
        <w:tblInd w:w="-108" w:type="dxa"/>
        <w:tblLayout w:type="fixed"/>
        <w:tblLook w:val="0000" w:firstRow="0" w:lastRow="0" w:firstColumn="0" w:lastColumn="0" w:noHBand="0" w:noVBand="0"/>
      </w:tblPr>
      <w:tblGrid>
        <w:gridCol w:w="3232"/>
        <w:gridCol w:w="3121"/>
        <w:gridCol w:w="3266"/>
      </w:tblGrid>
      <w:tr w:rsidR="007E149F">
        <w:tc>
          <w:tcPr>
            <w:tcW w:w="323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Проблемне питання</w:t>
            </w:r>
          </w:p>
          <w:p w:rsidR="007E149F" w:rsidRDefault="007E149F">
            <w:pPr>
              <w:pBdr>
                <w:top w:val="nil"/>
                <w:left w:val="nil"/>
                <w:bottom w:val="nil"/>
                <w:right w:val="nil"/>
                <w:between w:val="nil"/>
              </w:pBdr>
              <w:spacing w:line="240" w:lineRule="auto"/>
              <w:ind w:hanging="2"/>
              <w:rPr>
                <w:rFonts w:ascii="Times New Roman" w:hAnsi="Times New Roman"/>
                <w:color w:val="222222"/>
                <w:sz w:val="24"/>
                <w:szCs w:val="24"/>
              </w:rPr>
            </w:pPr>
          </w:p>
        </w:tc>
        <w:tc>
          <w:tcPr>
            <w:tcW w:w="312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Заходи вжиті на місцевому рівні</w:t>
            </w:r>
          </w:p>
        </w:tc>
        <w:tc>
          <w:tcPr>
            <w:tcW w:w="326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Пропозиції щодо вирішення питання</w:t>
            </w:r>
          </w:p>
        </w:tc>
      </w:tr>
      <w:tr w:rsidR="007E149F">
        <w:tc>
          <w:tcPr>
            <w:tcW w:w="3232"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Збільшення резервного потенціалу транспортного підприємства для оперативного виконання завдань цивільної оборони та можливості заміни автобусів, що виконують повсякденні завдання громади.</w:t>
            </w:r>
          </w:p>
        </w:tc>
        <w:tc>
          <w:tcPr>
            <w:tcW w:w="312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Подання необхідної документації донорам усіх рівнів для отримання додаткових транспортних засобів або грандів. Внесені зміни до Програми розвитку пасажирського транспорту Боярської МТГ на 2025р.</w:t>
            </w:r>
          </w:p>
        </w:tc>
        <w:tc>
          <w:tcPr>
            <w:tcW w:w="326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7E149F" w:rsidRDefault="00445E8A">
            <w:pPr>
              <w:pBdr>
                <w:top w:val="nil"/>
                <w:left w:val="nil"/>
                <w:bottom w:val="nil"/>
                <w:right w:val="nil"/>
                <w:between w:val="nil"/>
              </w:pBdr>
              <w:spacing w:line="240" w:lineRule="auto"/>
              <w:ind w:hanging="2"/>
              <w:rPr>
                <w:rFonts w:ascii="Times New Roman" w:hAnsi="Times New Roman"/>
                <w:color w:val="222222"/>
                <w:sz w:val="24"/>
                <w:szCs w:val="24"/>
              </w:rPr>
            </w:pPr>
            <w:r>
              <w:rPr>
                <w:rFonts w:ascii="Times New Roman" w:hAnsi="Times New Roman"/>
                <w:color w:val="222222"/>
                <w:sz w:val="24"/>
                <w:szCs w:val="24"/>
              </w:rPr>
              <w:t>Додаткове фінансування для збільшення парку автобусів КП «Транспортне Підприємство» (на 2-3 додаткових автобуси)</w:t>
            </w:r>
          </w:p>
          <w:p w:rsidR="007E149F" w:rsidRDefault="007E149F">
            <w:pPr>
              <w:pBdr>
                <w:top w:val="nil"/>
                <w:left w:val="nil"/>
                <w:bottom w:val="nil"/>
                <w:right w:val="nil"/>
                <w:between w:val="nil"/>
              </w:pBdr>
              <w:spacing w:line="240" w:lineRule="auto"/>
              <w:ind w:hanging="2"/>
              <w:rPr>
                <w:rFonts w:ascii="Times New Roman" w:hAnsi="Times New Roman"/>
                <w:color w:val="222222"/>
                <w:sz w:val="24"/>
                <w:szCs w:val="24"/>
              </w:rPr>
            </w:pPr>
          </w:p>
        </w:tc>
      </w:tr>
    </w:tbl>
    <w:p w:rsidR="007E149F" w:rsidRDefault="007E149F">
      <w:pPr>
        <w:pBdr>
          <w:top w:val="nil"/>
          <w:left w:val="nil"/>
          <w:bottom w:val="nil"/>
          <w:right w:val="nil"/>
          <w:between w:val="nil"/>
        </w:pBdr>
        <w:spacing w:line="36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Цифрова трансформація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звітному періоді відділ цифровізації та кібербезпеки Виконавчого комітету Боярської міської ради продовжував роботу над впровадженням цифрових технологій та модернізацією інфраструктури, спрямованої на покращення соціально-економічного розвитку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Основні досягнення та проекти, реалізовані впродовж січня-вересня 2025 року.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Цифрова трансформація управління громадою: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 системі документообігу впроваджено облік вхідної та вихідної кореспонденції Боярської міської ради. Це дає змогу структурувати інформацію про документообіг та формувати звітність щодо кількості та типів опрацьованих звернень.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Удосконалено функціонал документообігу: у картках «вхідні від ЦОВ» реалізовано функцію автоматичної відповіді про взяття документа в роботу на етапі резолюції, що підвищує прозорість та комунікацію із зовнішніми </w:t>
      </w:r>
      <w:r>
        <w:rPr>
          <w:rFonts w:ascii="Times New Roman" w:hAnsi="Times New Roman"/>
          <w:color w:val="000000"/>
          <w:szCs w:val="28"/>
        </w:rPr>
        <w:lastRenderedPageBreak/>
        <w:t>установами. Налаштовано додаткові механізми резервного копіювання, які забезпечують збереження службових даних у випадку технічних збоїв.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Упроваджено новий тип послуги в бухгалтерському модулі документообігу – «Орендна плата за приміщення (наш дохід)» із дворівневою структурою оплати (30% – бюджет, 70% – балансоутримувачу), що спростило облік і взаєморозрахунки.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Завершено технічний опис та затверджено зовнішній вигляд інформаційно-комунікаційних систем (ІКС), які були публічно представлені керівництву. Подано документи на закупівлю необхідного обладнання для подальшої модернізації ІКС.</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Розпочато формування концепції інтегрованої інформаційної системи робочого простору (Workspace) для виконавчих органів. Проведено аналіз потреб і моделювання ключових функцій та складено технічні вимоги до платформи.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Почато оновлення ОС до Windows 11 Pro: наразі майже половина робочих місць виконкому оновлена відповідно до завершення підтримки Windows 10. Зокрема, управління фінансів повністю переведено на ліцензійне ПЗ.</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Модернізовано систему резервного живлення для інтернет-обладнання Виконавчого комітету Боярської міської ради, що гарантує стабільну роботу мережі під час збоїв електропостачання та підвищує загальну стійкість цифрової інфраструктури.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Розбудова цифрової інфраструктури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Облаштовано безкоштовні Wi-Fi зони у приміщеннях виконавчого комітету Боярської міської ради, що забезпечує безперебійний доступ до Інтернету для мешканців та працівників.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перепідключення комунальних закладів до широкосмугового швидкісного інтернету, що забезпечує стабільний і якісний доступ до цифрових сервісів.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Заплановані на наступні півроку заходи будуть спрямовані на подальше впровадження е-сервісів, розвиток цифрової грамотності та зміцнення цифрової інфраструктури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Придбано новий сервер, на який мігровано ключові сервіси, що суттєво підвищило швидкодію систем.</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Частково оновлено комп’ютерну техніку: закуплено 9 сучасних ноутбуків з ліцензійною Windows 11 Pro, замість застарілих і повільних ПК.</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МФП (мультифункціональні пристрої): замінено несправні Kyocera dn2135 на нові надійні Canon MF453.</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Вдосконалення цифрових сервісів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Удосконалено систему роботи зі зверненнями громадян. Додано можливість застосування таблиць та інших файлів у заявах, що значно розширює функціонал для зручності користувачів.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Управління освіти громади розпочало впровадження системи управління навчальним процесом «Мрія», що дозволить підвищити ефективність роботи освітніх закладів.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Впроваджено платформу "Pay for Victory" — з модулем оплати податків через сайт і чат-бот, а також адміністративною панеллю для ЦНАП. Тепер мешканці громади можуть перевірити та сплатити заборгованість самостійно, а працівники виконкому — проводити інформування населення про наявність боргів.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Відкриті дані та навчання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навчання «Кібербезпека для ефективного управління громадою» для керівників Виконавчого комітету Боярської міської ради із залученням зовнішнього експерта - Анастасії Апетик. Захід був спрямований на підвищення рівня обізнаності щодо кіберзагроз та базових принципів захисту інформації в органах місцевого самоврядування.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Проведено 3 навчання з відкритих даних, підготовлено відеоматеріали та презентації.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Призначено відповідального за відкриті дані в структурі виконкому.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Сформовано 54 набори відкритих даних, які підлягають подальшій регулярній публікації на порталі data.gov.ua.</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Підвищення кіберстійкості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Продовжується впровадження антивірусного захисту ESET Endpoint Security в структурних підрозділах ВК БМР: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11 робочих місць у Службі у справах дітей;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6 робочих місць в Управлінні фінансів;</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 Подальше розгортання планується у наступних періодах.</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Розпочато тестування  платформи двофакторної автентифікації PrivacyID³A, яка найближчим часом буде впроваджена на всіх робочих місцях виконкому.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На фінішній прямій знаходиться розробка політик інформаційної безпеки та реагування на інциденти.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Цифрові простори та інклюзія</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Створено молодіжний простір «M&amp;I Hub» у селах Малютянка та Іванків на грантові кошти. Простір має ІТ-спрямування та включає освітню і розважальну складові. Він слугує майданчиком для розвитку цифрових навичок молоді у сільській місцевості.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i/>
          <w:iCs/>
          <w:color w:val="000000"/>
          <w:szCs w:val="28"/>
        </w:rPr>
        <w:t>Медіа та трансляції</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Вдосконалено систему відеотрансляцій у виконкомі: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Встановлено нову PTZ-камеру, мікрофони та апаратний енкодер.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Забезпечено якісну трансляцію та запис заходів, що відбуваються у ВК БМР.</w:t>
      </w: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Удосконалення системи надання адміністративних послуг</w:t>
      </w:r>
    </w:p>
    <w:p w:rsidR="007E149F" w:rsidRDefault="00445E8A" w:rsidP="00307770">
      <w:pPr>
        <w:shd w:val="clear" w:color="auto" w:fill="FFFFFF"/>
        <w:spacing w:line="360" w:lineRule="auto"/>
        <w:ind w:leftChars="0" w:left="0" w:firstLineChars="202" w:firstLine="566"/>
        <w:jc w:val="both"/>
        <w:rPr>
          <w:szCs w:val="28"/>
        </w:rPr>
      </w:pPr>
      <w:r>
        <w:rPr>
          <w:szCs w:val="28"/>
        </w:rPr>
        <w:t>За 9 місяців 2025 року Управління «Центр надання адміністративних послуг» виконавчого комітету Боярської міської ради (далі – ЦНАП) здійснювало діяльність відповідно до положення та регламенту, забезпечуючи населення адміністративними послугами у повному обсязі.</w:t>
      </w:r>
    </w:p>
    <w:p w:rsidR="007E149F" w:rsidRDefault="00445E8A" w:rsidP="00307770">
      <w:pPr>
        <w:shd w:val="clear" w:color="auto" w:fill="FFFFFF"/>
        <w:spacing w:line="360" w:lineRule="auto"/>
        <w:ind w:leftChars="0" w:left="0" w:firstLineChars="202" w:firstLine="566"/>
        <w:jc w:val="both"/>
        <w:rPr>
          <w:szCs w:val="28"/>
        </w:rPr>
      </w:pPr>
      <w:r>
        <w:rPr>
          <w:szCs w:val="28"/>
        </w:rPr>
        <w:t>Станом на 01.10.2025 через ЦНАП надається 231 адміністративна послуга. Усі послуги надаються через адміністраторів або державного реєстратора.</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За 9 місяців 2025 року ЦНАПом надано 24928 адміністративних послуг. </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Реєстрація/зняття з реєстрації місця проживання (у тому числі видача витягу з Реєстру територіальної громади) – 9626. </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Послуг соціального характеру – 4026, зокрема з них: взяття на облік внутрішньо переміщених осіб – 1097, допомога ВПО – 550,  послуги для ветеранів </w:t>
      </w:r>
      <w:r>
        <w:rPr>
          <w:szCs w:val="28"/>
        </w:rPr>
        <w:lastRenderedPageBreak/>
        <w:t>війни та їх сімей - 464, субсидії – 80 та ін. Адміністративні послуги Захисникам і Захисницям України та членам їхніх родин у ЦНАПі надаються в режимі "єдиного вікна ветерана".</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Послуги із видачі паспортних документів – 2269, послуг із видачі (обміну) посвідчення водія – 146, послуг з реєстрації (перереєстрації) транспортних засобів – 21. </w:t>
      </w:r>
    </w:p>
    <w:p w:rsidR="007E149F" w:rsidRDefault="00445E8A" w:rsidP="00307770">
      <w:pPr>
        <w:shd w:val="clear" w:color="auto" w:fill="FFFFFF"/>
        <w:spacing w:line="360" w:lineRule="auto"/>
        <w:ind w:leftChars="0" w:left="0" w:firstLineChars="202" w:firstLine="566"/>
        <w:jc w:val="both"/>
        <w:rPr>
          <w:szCs w:val="28"/>
        </w:rPr>
      </w:pPr>
      <w:r>
        <w:rPr>
          <w:szCs w:val="28"/>
        </w:rPr>
        <w:t>Державна реєстрація прав на нерухоме майно та їх обтяжень – 1285, державна реєстрація юридичних осіб та фізичних осіб-підприємців – 216.</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За звітний період в електронній формі через ЦНАП надавались 24 послуги, зокрема ті, які надаються з використанням ЄДЕССБ, єМалятко, повідомлення про пошкоджене майно та компенсація за пошкоджене або зруйноване майно, витяг з ЄДРВВ. Надання послуг через єдину державну електронні системи: у сфері будівництва (ЄДЕССБ) – 279; видача витягів з державного земельного кадастру (ДЗК) – 236, надання комплексної послуги єМалятко – 30, надання витягу з Єдиного державного реєстру ветеранів війни (ЄДРВВ) – 323, подання заяв про пошкоджене або майно та компенсація за пошкоджене або зруйноване майно – 74. </w:t>
      </w:r>
    </w:p>
    <w:p w:rsidR="007E149F" w:rsidRDefault="00445E8A" w:rsidP="00307770">
      <w:pPr>
        <w:shd w:val="clear" w:color="auto" w:fill="FFFFFF"/>
        <w:spacing w:line="360" w:lineRule="auto"/>
        <w:ind w:leftChars="0" w:left="0" w:firstLineChars="202" w:firstLine="566"/>
        <w:jc w:val="both"/>
        <w:rPr>
          <w:szCs w:val="28"/>
        </w:rPr>
      </w:pPr>
      <w:r>
        <w:rPr>
          <w:szCs w:val="28"/>
        </w:rPr>
        <w:t>Для забезпечення надання населенню адміністративних послуг в електронній формі, суб’єктом надання яких є орган місцевого самоврядування та його виконавчий орган, необхідно створити та забезпечити функціонування системи електронної взаємодії органів державної влади та органів місцевого самоврядування.</w:t>
      </w:r>
    </w:p>
    <w:p w:rsidR="007E149F" w:rsidRDefault="00445E8A" w:rsidP="00307770">
      <w:pPr>
        <w:shd w:val="clear" w:color="auto" w:fill="FFFFFF"/>
        <w:spacing w:line="360" w:lineRule="auto"/>
        <w:ind w:leftChars="0" w:left="0" w:firstLineChars="202" w:firstLine="566"/>
        <w:jc w:val="both"/>
        <w:rPr>
          <w:szCs w:val="28"/>
        </w:rPr>
      </w:pPr>
      <w:r>
        <w:rPr>
          <w:szCs w:val="28"/>
        </w:rPr>
        <w:t>Центр надання адміністративних послуг здійснює онлайн-консультування суб'єктів звернення засобами телефонного зв'язку, надає інформацію про послуги через офіційний веб-сайт, сторінку у Facebook, Telegram-канал Боярського інформаційного центру та у Viber. Крім того, на стендах ЦНАПу постійно публікується інформація про зміни у законодавстві та актуальні для громадян новини у сфері надання адміністративних послуг.</w:t>
      </w:r>
    </w:p>
    <w:p w:rsidR="007E149F" w:rsidRDefault="00445E8A" w:rsidP="00307770">
      <w:pPr>
        <w:shd w:val="clear" w:color="auto" w:fill="FFFFFF"/>
        <w:spacing w:line="360" w:lineRule="auto"/>
        <w:ind w:leftChars="0" w:left="0" w:firstLineChars="202" w:firstLine="566"/>
        <w:jc w:val="both"/>
        <w:rPr>
          <w:szCs w:val="28"/>
        </w:rPr>
      </w:pPr>
      <w:r>
        <w:rPr>
          <w:szCs w:val="28"/>
        </w:rPr>
        <w:t xml:space="preserve">Для зручності і комфорту у приміщенні встановлено платіжний термінал для оплати адміністративних послуг платіжними банківськими картками та готівкою. </w:t>
      </w:r>
      <w:r>
        <w:rPr>
          <w:szCs w:val="28"/>
        </w:rPr>
        <w:lastRenderedPageBreak/>
        <w:t>Також у зоні очікування є місце для самообслуговування відвідувачів та дитячий куточок.</w:t>
      </w: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Розвиток міжнародного співробітництва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період січень – вересень 2025 року керівництво Боярської МТГ провело 30 офіційних онлайн зустрічей з представниками іноземних громад щодо співробітництва та реалізації спільних проєктів протягом 2025 року, що підтверджується відповідними протоколами зустрічей, а також більше 40 онлайн-офлайн зустрічей з представниками ГО, БФ, підприємств, закладів, що працюють в сфері міжнародного та міжмуніципального співробітництва.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Окремо проведено зустрічі та круглі столи з представниками країн Європи щодо співпраці та співробітництва.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Завдяки проведеним зустрічам, напрацюванням та обговоренням досягнуто домовленостей щодо прийому дітей Боярської громади на відпочинок за кошти європейських партнерів. А саме в Ропажі (Латвія), Джовінаццо (Італія), Пулави (Польща), Карпі (Італія), двічі протягом звітного періоду діти з числа родин військовослужбовців, зниклих безвісти та загиблих захисників та захисниць змогли відпочити в регіоні Бєляни (Варшава, Польща). Тривалі перемовини та комунікація сприяли організації відпочинку дітей Боярської громади в кількості 140 у супроводі 20 дорослих осіб.</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Завдяки налагодженій співпраці міста-партнери Ропажі (Латвія), Джовінаццо (Італія), Пулави (Польща) вже третій рік поспіль надають допомогу громаді у вигляді організації дитячого відпочинку за кошти приймаючої сторони для пільгових категорій та талановитих дітей.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Боярська громада активно шукає нові можливості для налагодження міжнародного співробітництва - відповідно підготувала і направила більше 130 листів з пропозиціями співробітництва мерам європейських міст (Німеччини, Австрії, Бельгії, Швеції, Великобританії, Австралії, Нідерландів), а також більше 50 листів з пропозиціями співробітництва або сприяння в реалізації спільних проектів з мерами міст Америки та Австралії.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 xml:space="preserve">Вперше було досягнуто домовленості з Ропажським краєм (Латвія) про прийом на стажування з проектного менеджменту 8 спеціалістів різного профілю апарату Боярської міської ради. Тиждень спеціалісти отримували досвід з реалізації європейських проєктів та ділилися власними ідеями. Всі витрати на проживання, харчування, транспортні послуги в місті взяла на себе приймаюча сторона.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період 01 по 06 березня 2025 року міський голова взяв участь у 10-ому Європейському конгресі місцевого самоврядування, що проходив у м.Миколайки (Польща). Під час участі у заході відвідав панельні дискусії, ознайомився з можливостями підтримки Європи у відновленні громад України, а також залучення інвестицій.</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Перша заступниця міського голови Тетяна Кочкова та начальник Управління міжнародного співробітництва, економічного аналізу та стратегічних комунікацій Олена Ковтун активно відвідували міжнародні події, спрямовані на посилення спроможності громад, відновлення, розширення міжнародного співробітництва.</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Важливим досягненням стала участь першої заступниці міського голови Тетяни Кочкової у міжнародній конференції з відновлення України UTC 2025, що відбулася в Римі (Італія). Боярська громада ввійшла до числа 134 громад, відібраних для участі у цьому масштабному міжнародному заході.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розширення міжнародного співробітництва Боярську громаду з 04 по 06 червня відвідав мер району Бєляни міста Варшава (Польща), з яким громада не має офіційно укладених партнерських стосунків, але які вже двічі приймали дітей з родин військовослужбовців на відпочинок та оздоровлення в Польщі.</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07 червня 2025 року Боярську громаду відвідав депутат Вільнюської міської ради Вігінтас Гаспаравічус, який ознайомився з діяльністю соціальних служб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 06 по 08 червня 2025 року Боярська громада приймала мера міста – побратима Палезо (Франція) Грегуара де Ластейрі. В рамках візиту було презентовано громаду з її викликами в час війни, функціонування укриттів, діяльність шкіл, а також окремим пунктом співробітництва була організована </w:t>
      </w:r>
      <w:r>
        <w:rPr>
          <w:rFonts w:ascii="Times New Roman" w:hAnsi="Times New Roman"/>
          <w:color w:val="000000"/>
          <w:szCs w:val="28"/>
        </w:rPr>
        <w:lastRenderedPageBreak/>
        <w:t>зустріч Молодіжних рад Боярки і Палезо. Налагодження роботи у сфері молодіжної політики наразі триває.</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візитів керівництва громади – міського голови, заступників, проведено низку важливих зустрічей, спрямованих на підтримку Боярської громади, допомогу мешканцям та відновлення. Завдяки успішній комунікації, перемовинам та тривалій співпраці було досягнуто домовленості щодо надання допомоги у вигляді автомобілів загальною оціночною вартістю 342 000 грн, а саме: автомобіль Volkswagen Caddy від Ропажі (Латвія) оціночною вартістю 94 500,00 грн; автомобіль Volkswagen Passat від Біржай (Литва) оціночною вартістю 137 500,00 грн; автомобіль Chevrolet Aveo від Біржай (Литва) оціночною вартістю 110 000,00 грн. Весь транспорт працює та забезпечує роботу комунальних підприємств громади.</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заходів з нагоди Дня міста Боярка 20 вересня 2025 року відбулося відкриття Соціальної шафи Комунальної установи «Центр надання соціальних послуг» Боярської міської ради. Цей проєкт реалізовується завдяки фінансовій підтримці міста – партнера Ропажі (Латвія). Це приклад успішної роботи та співпраці з європейським партнером.</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візитів до міст-побратимів з метою участі в офіційних заходах, керівництвом громади проведено зустрічі з представниками міст Штендаль (Німеччина), Одоланув (Польща), Красна (Чехія), Вілковіце (Польща) та досягнуто домовленостей про подальшу співпрацю.</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Під час візиту міського голови О.Зарубіна до міста-побратима Устка (Польща) відбулося отримання книжок польською мовою для бібліотек громади та освітніх закладів, де вивчається польська мова. А також в рамках посилення співробітництва та враховуючи досягнуту домовленість перша заступниця міського голови Т.Кочкова передала книжки українською мовою для українців, що були змушені виїхати за кордон внаслідок бойових дій на території України та проживають наразі в м.Штендаль.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lastRenderedPageBreak/>
        <w:t>Міжнародне співробітництво з м.Штендаль (Німеччина) наразі активно розвивається, вже досягнуто домовленості про візит делегації Боярської громади до німецького міста навесні 2026 року.</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Триває робота з налагодження співпраці з м.Каппельн (Німеччина), що є партнером міста-побратима Пулави (Польща), в рамках якої планується організація спільних культурних та спортивних заходів. А саме виставки, проведення спільних показових змагань з футболу для дитячих команд.</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В рамках розширення міжнародного співробітництва відбулися візити до міста Боярка: Посольства Бельгії, а саме Високоповажного Пана Посла Королівства Бельгія в Україні Люка Якобспана; Посольства Литви - Високоповажної радниці-посланниці Посольства Литовської Республіки в Україні Агнє Скайстітє; Посольства Ірландії – Надзвичайного і Повноважного Посла Ірландії в Україні Джонатана Конлона.</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Проєктна діяльність</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звітний період реалізувався </w:t>
      </w:r>
      <w:r>
        <w:rPr>
          <w:rFonts w:ascii="Times New Roman" w:hAnsi="Times New Roman"/>
          <w:b/>
          <w:bCs/>
          <w:color w:val="000000"/>
          <w:szCs w:val="28"/>
        </w:rPr>
        <w:t>один проєкт міжнародної технічної допомоги</w:t>
      </w:r>
      <w:r>
        <w:rPr>
          <w:rFonts w:ascii="Times New Roman" w:hAnsi="Times New Roman"/>
          <w:color w:val="000000"/>
          <w:szCs w:val="28"/>
        </w:rPr>
        <w:t>, а саме: в межах співпраці між Міністерством освіти і науки України та Представництвом Бельгійського агентства з розвитку Enabel в Україні Боярський академічнй ліцей «Інтелект» Боярської міської ради отримав генератор.</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Крім того, </w:t>
      </w:r>
      <w:r>
        <w:rPr>
          <w:rFonts w:ascii="Times New Roman" w:hAnsi="Times New Roman"/>
          <w:b/>
          <w:bCs/>
          <w:color w:val="000000"/>
          <w:szCs w:val="28"/>
        </w:rPr>
        <w:t>19 проєктів були реалізовані закладами комунальної власності</w:t>
      </w:r>
      <w:r>
        <w:rPr>
          <w:rFonts w:ascii="Times New Roman" w:hAnsi="Times New Roman"/>
          <w:color w:val="000000"/>
          <w:szCs w:val="28"/>
        </w:rPr>
        <w:t xml:space="preserve"> через громадські організації за фінансової підтримки міжнародних фінансових організацій та </w:t>
      </w:r>
      <w:r>
        <w:rPr>
          <w:rFonts w:ascii="Times New Roman" w:hAnsi="Times New Roman"/>
          <w:b/>
          <w:bCs/>
          <w:color w:val="000000"/>
          <w:szCs w:val="28"/>
        </w:rPr>
        <w:t>один на стадії впровадження</w:t>
      </w:r>
      <w:r>
        <w:rPr>
          <w:rFonts w:ascii="Times New Roman" w:hAnsi="Times New Roman"/>
          <w:color w:val="000000"/>
          <w:szCs w:val="28"/>
        </w:rPr>
        <w:t>.</w:t>
      </w:r>
    </w:p>
    <w:p w:rsidR="007E149F" w:rsidRDefault="007E149F"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p>
    <w:p w:rsidR="007E149F" w:rsidRDefault="00445E8A" w:rsidP="00307770">
      <w:pPr>
        <w:pBdr>
          <w:top w:val="nil"/>
          <w:left w:val="nil"/>
          <w:bottom w:val="nil"/>
          <w:right w:val="nil"/>
          <w:between w:val="nil"/>
        </w:pBdr>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Містобудівна діяльність</w:t>
      </w:r>
    </w:p>
    <w:p w:rsidR="00307770"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Протягом 9 місяців 2025 року завершено роботи з розроблення генерального плану села Перевіз Боярської міської територіальної громади. На стадії завершення генеральний план Новосілки Боярської</w:t>
      </w:r>
      <w:r w:rsidR="00307770">
        <w:rPr>
          <w:rFonts w:ascii="Times New Roman" w:hAnsi="Times New Roman"/>
          <w:color w:val="000000"/>
          <w:szCs w:val="28"/>
        </w:rPr>
        <w:t xml:space="preserve"> міської територіальної громади/ </w:t>
      </w:r>
    </w:p>
    <w:p w:rsidR="007E149F"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Затверджено 5 детальних планів територій.</w:t>
      </w:r>
    </w:p>
    <w:p w:rsidR="007E149F" w:rsidRPr="00EB2EDC" w:rsidRDefault="00445E8A" w:rsidP="00307770">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lang w:val="uk-UA"/>
        </w:rPr>
      </w:pPr>
      <w:r w:rsidRPr="00307770">
        <w:rPr>
          <w:rFonts w:ascii="Times New Roman" w:hAnsi="Times New Roman"/>
          <w:bCs/>
          <w:color w:val="000000"/>
          <w:szCs w:val="28"/>
        </w:rPr>
        <w:lastRenderedPageBreak/>
        <w:t>Інформація про проведені капітальні ремонти,</w:t>
      </w:r>
      <w:r w:rsidR="00307770" w:rsidRPr="00307770">
        <w:rPr>
          <w:rFonts w:ascii="Times New Roman" w:hAnsi="Times New Roman"/>
          <w:bCs/>
          <w:color w:val="000000"/>
          <w:szCs w:val="28"/>
        </w:rPr>
        <w:t xml:space="preserve"> будівництво, реконструкцію за </w:t>
      </w:r>
      <w:r w:rsidRPr="00307770">
        <w:rPr>
          <w:rFonts w:ascii="Times New Roman" w:hAnsi="Times New Roman"/>
          <w:bCs/>
          <w:color w:val="000000"/>
          <w:szCs w:val="28"/>
        </w:rPr>
        <w:t>9 місяців 2025 року ( в процесі виконання) на території Боярської МТГ</w:t>
      </w:r>
      <w:bookmarkStart w:id="2" w:name="bookmark=id.wpk0isjpw52x" w:colFirst="0" w:colLast="0"/>
      <w:bookmarkEnd w:id="2"/>
      <w:r w:rsidR="00EB2EDC">
        <w:rPr>
          <w:rFonts w:ascii="Times New Roman" w:hAnsi="Times New Roman"/>
          <w:bCs/>
          <w:color w:val="000000"/>
          <w:szCs w:val="28"/>
          <w:lang w:val="uk-UA"/>
        </w:rPr>
        <w:t>:</w:t>
      </w:r>
    </w:p>
    <w:tbl>
      <w:tblPr>
        <w:tblStyle w:val="affa"/>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3"/>
        <w:gridCol w:w="1917"/>
        <w:gridCol w:w="992"/>
        <w:gridCol w:w="851"/>
        <w:gridCol w:w="992"/>
        <w:gridCol w:w="992"/>
        <w:gridCol w:w="1134"/>
        <w:gridCol w:w="1560"/>
        <w:gridCol w:w="850"/>
      </w:tblGrid>
      <w:tr w:rsidR="007E149F">
        <w:trPr>
          <w:cantSplit/>
          <w:trHeight w:val="405"/>
        </w:trPr>
        <w:tc>
          <w:tcPr>
            <w:tcW w:w="493"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 з/п</w:t>
            </w:r>
          </w:p>
        </w:tc>
        <w:tc>
          <w:tcPr>
            <w:tcW w:w="1917"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Перелік заходів</w:t>
            </w:r>
          </w:p>
        </w:tc>
        <w:tc>
          <w:tcPr>
            <w:tcW w:w="992"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Виконавці</w:t>
            </w:r>
          </w:p>
        </w:tc>
        <w:tc>
          <w:tcPr>
            <w:tcW w:w="851"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Термін виконання</w:t>
            </w:r>
          </w:p>
        </w:tc>
        <w:tc>
          <w:tcPr>
            <w:tcW w:w="5528" w:type="dxa"/>
            <w:gridSpan w:val="5"/>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Обсяг та джерела фінансування за 9 місяців 2025 року, тис. грн.</w:t>
            </w:r>
          </w:p>
        </w:tc>
      </w:tr>
      <w:tr w:rsidR="007E149F">
        <w:trPr>
          <w:cantSplit/>
          <w:trHeight w:val="330"/>
        </w:trPr>
        <w:tc>
          <w:tcPr>
            <w:tcW w:w="493"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1917"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851"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restart"/>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Всього</w:t>
            </w:r>
          </w:p>
        </w:tc>
        <w:tc>
          <w:tcPr>
            <w:tcW w:w="4536" w:type="dxa"/>
            <w:gridSpan w:val="4"/>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у тому числі:</w:t>
            </w:r>
          </w:p>
        </w:tc>
      </w:tr>
      <w:tr w:rsidR="007E149F">
        <w:trPr>
          <w:cantSplit/>
          <w:trHeight w:val="1080"/>
        </w:trPr>
        <w:tc>
          <w:tcPr>
            <w:tcW w:w="493"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1917"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851"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Merge/>
            <w:vAlign w:val="center"/>
          </w:tcPr>
          <w:p w:rsidR="007E149F" w:rsidRDefault="007E149F">
            <w:pPr>
              <w:pBdr>
                <w:top w:val="nil"/>
                <w:left w:val="nil"/>
                <w:bottom w:val="nil"/>
                <w:right w:val="nil"/>
                <w:between w:val="nil"/>
              </w:pBdr>
              <w:spacing w:line="276" w:lineRule="auto"/>
              <w:ind w:hanging="2"/>
              <w:rPr>
                <w:rFonts w:ascii="Times New Roman" w:hAnsi="Times New Roman"/>
                <w:color w:val="000000"/>
                <w:sz w:val="20"/>
              </w:rPr>
            </w:pP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Державний бюджет</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обласний бюджет</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місцеві бюджети</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інші джерела (кошти районного бюджету)</w:t>
            </w:r>
          </w:p>
        </w:tc>
      </w:tr>
      <w:tr w:rsidR="007E149F">
        <w:trPr>
          <w:trHeight w:val="37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1</w:t>
            </w:r>
          </w:p>
        </w:tc>
        <w:tc>
          <w:tcPr>
            <w:tcW w:w="1917"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3</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4</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6</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7</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8</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9</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10</w:t>
            </w:r>
          </w:p>
        </w:tc>
      </w:tr>
      <w:tr w:rsidR="007E149F">
        <w:trPr>
          <w:trHeight w:val="536"/>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 </w:t>
            </w:r>
          </w:p>
        </w:tc>
        <w:tc>
          <w:tcPr>
            <w:tcW w:w="9288" w:type="dxa"/>
            <w:gridSpan w:val="8"/>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20"/>
              </w:rPr>
            </w:pPr>
            <w:r>
              <w:rPr>
                <w:rFonts w:ascii="Times New Roman" w:hAnsi="Times New Roman"/>
                <w:b/>
                <w:bCs/>
                <w:color w:val="000000"/>
                <w:sz w:val="20"/>
              </w:rPr>
              <w:t>Капітальні ремонти, нове будівництво та реконструкція:</w:t>
            </w:r>
          </w:p>
        </w:tc>
      </w:tr>
      <w:tr w:rsidR="007E149F">
        <w:trPr>
          <w:trHeight w:val="21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будівлі для облаштування спеціалізованої служби підтримки осіб, які постраждали від домашнього насильства за ознакою за адресою: м. Боярка, вул. Дежньова, 62»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ПП "АНАБУД"</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700,000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700,000</w:t>
            </w:r>
          </w:p>
        </w:tc>
        <w:tc>
          <w:tcPr>
            <w:tcW w:w="850"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r>
      <w:tr w:rsidR="007E149F">
        <w:trPr>
          <w:trHeight w:val="192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підвального приміщення (облаштування найпростішого укриття) закладу дошкільної освіти «Іскорка» за адресою: м. Боярка, вул. І. Котляревського, 3-А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"КОНСАЛТИНГ-БУД"</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2 050,000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2 050,000</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52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протирадіаційного укриття академічного ліцею «Престиж» за адресою: Україна, Київська область, Фастівський район, м. Боярка, Боярська територіальна громада, вул. Б. Хмельницького, 57А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"МІСЬКЕ БУДІВНИЦТВО"</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21 450,060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18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з благоустроєм  дитячого майданчика за адресою: Україна, Київська область, Фастівський район, Боярська територіальна громада, м. Боярка, вул. Молодіжна, 5 б”</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"РОСТДОРСТРОЙ"</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22 951,955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28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lastRenderedPageBreak/>
              <w:t>5</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«Нове будівництво укриття на території Боярської </w:t>
            </w:r>
            <w:r>
              <w:rPr>
                <w:rFonts w:ascii="Times New Roman" w:hAnsi="Times New Roman"/>
                <w:color w:val="000000"/>
                <w:sz w:val="16"/>
                <w:szCs w:val="16"/>
              </w:rPr>
              <w:br/>
              <w:t xml:space="preserve">загальноосвітньої школи I - III ступенів № 1 (нове </w:t>
            </w:r>
            <w:r>
              <w:rPr>
                <w:rFonts w:ascii="Times New Roman" w:hAnsi="Times New Roman"/>
                <w:color w:val="000000"/>
                <w:sz w:val="16"/>
                <w:szCs w:val="16"/>
              </w:rPr>
              <w:br/>
              <w:t xml:space="preserve">будівництво) , за адресою: Україна, Київська </w:t>
            </w:r>
            <w:r>
              <w:rPr>
                <w:rFonts w:ascii="Times New Roman" w:hAnsi="Times New Roman"/>
                <w:color w:val="000000"/>
                <w:sz w:val="16"/>
                <w:szCs w:val="16"/>
              </w:rPr>
              <w:br/>
              <w:t xml:space="preserve">область, Фастівський район, м. Боярка, Боярська </w:t>
            </w:r>
            <w:r>
              <w:rPr>
                <w:rFonts w:ascii="Times New Roman" w:hAnsi="Times New Roman"/>
                <w:color w:val="000000"/>
                <w:sz w:val="16"/>
                <w:szCs w:val="16"/>
              </w:rPr>
              <w:br/>
              <w:t>територіальна громада, вул. Лисенка, 11/23»</w:t>
            </w:r>
            <w:r>
              <w:rPr>
                <w:rFonts w:ascii="Times New Roman" w:hAnsi="Times New Roman"/>
                <w:color w:val="000000"/>
                <w:sz w:val="16"/>
                <w:szCs w:val="16"/>
              </w:rPr>
              <w:br/>
              <w:t xml:space="preserve"> (коригування ) </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"Смарт Універсал Груп"</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31.12.2026</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133 976,451</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b/>
                <w:bCs/>
                <w:color w:val="000000"/>
                <w:sz w:val="16"/>
                <w:szCs w:val="16"/>
              </w:rPr>
              <w:t> </w:t>
            </w:r>
          </w:p>
        </w:tc>
      </w:tr>
      <w:tr w:rsidR="007E149F">
        <w:trPr>
          <w:trHeight w:val="599"/>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9288" w:type="dxa"/>
            <w:gridSpan w:val="8"/>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b/>
                <w:bCs/>
                <w:color w:val="000000"/>
                <w:sz w:val="16"/>
                <w:szCs w:val="16"/>
              </w:rPr>
              <w:t>Роботи з розробки проектної документації та проходження експертизи:</w:t>
            </w:r>
          </w:p>
        </w:tc>
      </w:tr>
      <w:tr w:rsidR="007E149F">
        <w:trPr>
          <w:trHeight w:val="33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«Реконструкція будівлі Забірської дільничної лікарні з амбулаторією з добудовою приміщення відділення надання послуг особам, що потребують стороннього догляду (реконструкція), за адресою: Україна, Київська область, Фастівський район, с. Забір’я, Боярська територіальна громада, вул. Гончаренка, 12а»</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"ПЛАНЕТА МАЙСТРІВ"</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1 100,000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1100,0000</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723"/>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харчоблоку Боярського академічного ліцею «Гармонія» Боярської міської ради, за адресою: Україна, Київська область, Фастівський район, м. Боярка, Боярська територіальна громада, вул. І. Котляревського,7»</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"ІНЖИНІРИНГОВА КОМПАНІЯ "АРКОН"</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850,000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850,0000</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протирадіаційного укриття академічного ліцею «Престиж» за адресою: Україна, Київська область, Фастівський район, м. Боярка, Боярська територіальна громада, вул. Б. Хмельницького, 57А»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xml:space="preserve">ТОВ "ОРБІТА БУДПРОЕКТ" </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229,925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229,925</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shd w:val="clear" w:color="auto" w:fill="auto"/>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w:t>
            </w:r>
          </w:p>
        </w:tc>
        <w:tc>
          <w:tcPr>
            <w:tcW w:w="1917" w:type="dxa"/>
            <w:shd w:val="clear" w:color="auto" w:fill="FFFFFF"/>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 xml:space="preserve"> «Реконструкція з добудовою приміщення Боярської загальноосвітньої школи I-III ступенів №1 (реконструкція), за адресою: Україна, Київська область, Фастівський район, Боярська територіальна громада, м. Боярка, вул.Лисенка, 11/23»</w:t>
            </w:r>
          </w:p>
        </w:tc>
        <w:tc>
          <w:tcPr>
            <w:tcW w:w="992"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"ІНЖИНІРИНГОВА КОМПАНІЯ "АРКОН"</w:t>
            </w:r>
          </w:p>
        </w:tc>
        <w:tc>
          <w:tcPr>
            <w:tcW w:w="851"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31.08.2025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1 314,120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1314,120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62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lastRenderedPageBreak/>
              <w:t>5</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«Реконструкція приміщень харчоблоку для створення «Опорної кухні» на базі «Боярського академічного ліцею «Престиж» Боярської міської ради» за адресою: Україна, Київська обл., Фастівський р-н, м. Боярка, Боярська територіальна громада, вул. Б. Хмельницького, 57А» (коригування)</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ТОВАРИСТВО З ОБМЕЖЕНОЮ ВІДПОВІДАЛЬНІСТЮ "ІНЖИНІРИНГОВА КОМПАНІЯ "АРКОН"</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296,761</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296,7612</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6</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«Нове будівництво укриття на території Боярського академічного ліцею «Лідер» (нове будівництво) за адресою: Україна, Київська область, Фастівський район, м. Боярка, Боярська територіальна громада, вул. П. Сагайдачного, 62» (коригування 2) стадія П</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БУРДЕНЮК ІГОР БОГДАНОВИЧ</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31.01.2025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350,000</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350,00000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shd w:val="clear" w:color="auto" w:fill="auto"/>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7</w:t>
            </w:r>
          </w:p>
        </w:tc>
        <w:tc>
          <w:tcPr>
            <w:tcW w:w="1917" w:type="dxa"/>
            <w:shd w:val="clear" w:color="auto" w:fill="FFFFFF"/>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 xml:space="preserve">Нове будівництво укриття на території Боярської загальноосвітньої школи I - III ступенів № 1 (нове будівництво) , за адресою: Україна, Київська область, Фастівський район, м. Боярка, Боярська територіальна громада, вул. Лисенка, 11/23» (коригування) стадія Р </w:t>
            </w:r>
          </w:p>
        </w:tc>
        <w:tc>
          <w:tcPr>
            <w:tcW w:w="992"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333333"/>
                <w:sz w:val="16"/>
                <w:szCs w:val="16"/>
              </w:rPr>
            </w:pPr>
            <w:r>
              <w:rPr>
                <w:rFonts w:ascii="Times New Roman" w:hAnsi="Times New Roman"/>
                <w:color w:val="333333"/>
                <w:sz w:val="16"/>
                <w:szCs w:val="16"/>
              </w:rPr>
              <w:t>ФОП БУРДЕНЮК ІГОР БОГДАНОВИЧ</w:t>
            </w:r>
          </w:p>
        </w:tc>
        <w:tc>
          <w:tcPr>
            <w:tcW w:w="851"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30.06.2025</w:t>
            </w:r>
          </w:p>
        </w:tc>
        <w:tc>
          <w:tcPr>
            <w:tcW w:w="992" w:type="dxa"/>
            <w:shd w:val="clear" w:color="auto" w:fill="auto"/>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1 431,076</w:t>
            </w:r>
          </w:p>
        </w:tc>
        <w:tc>
          <w:tcPr>
            <w:tcW w:w="992"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shd w:val="clear" w:color="auto" w:fill="FFFFFF"/>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16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8</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харчоблоку  Боярського академічного ліцею «Інтелект» Боярської міської ради,  за адресою: Україна, Київська область, Фастівський район, м. Боярка, Боярська територіальна громада, вул. Незалежності, 4</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333333"/>
                <w:sz w:val="16"/>
                <w:szCs w:val="16"/>
              </w:rPr>
            </w:pPr>
            <w:r>
              <w:rPr>
                <w:rFonts w:ascii="Times New Roman" w:hAnsi="Times New Roman"/>
                <w:color w:val="333333"/>
                <w:sz w:val="16"/>
                <w:szCs w:val="16"/>
              </w:rPr>
              <w:t xml:space="preserve">ТОВ "ВБК "Стандарт" </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201,096</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201,09629</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018"/>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9</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Капітальний ремонт харчоблоку  Боярського академічного ліцею «Інтелект» Боярської міської ради,  за адресою: Україна, Київська область, Фастівський район, м. Боярка, Боярська територіальна громада, вул. Шкільна, 28</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"ІП "АРКОН"</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238,532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238,5323</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198"/>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10</w:t>
            </w:r>
          </w:p>
        </w:tc>
        <w:tc>
          <w:tcPr>
            <w:tcW w:w="1917" w:type="dxa"/>
            <w:vAlign w:val="center"/>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будівель Новосілківської гімназії з термосанацією, за адресою: Україна, Київська область, Фастівський район, с Новосілки, Боярська територіальна громада, вул. Центральна, 3 А</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ОНАЧУК КАТЕРИНА ВІКТОРІВНА</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02.06.2025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1 367,917</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1367,917</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1898"/>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lastRenderedPageBreak/>
              <w:t>11</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приміщень будівлі для облаштування спеціалізованої служби підтримки осіб, які постраждали від домашнього насильства за адресою: м. Боярка, вул. Дежньова, 62» (коригування 2)</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КОЗАК ОЛЕКСАНДР</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16.05.2025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188,085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134"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188,085</w:t>
            </w:r>
          </w:p>
        </w:tc>
        <w:tc>
          <w:tcPr>
            <w:tcW w:w="850" w:type="dxa"/>
            <w:vAlign w:val="center"/>
          </w:tcPr>
          <w:p w:rsidR="007E149F" w:rsidRDefault="00445E8A">
            <w:pPr>
              <w:pBdr>
                <w:top w:val="nil"/>
                <w:left w:val="nil"/>
                <w:bottom w:val="nil"/>
                <w:right w:val="nil"/>
                <w:between w:val="nil"/>
              </w:pBdr>
              <w:spacing w:line="240" w:lineRule="auto"/>
              <w:ind w:hanging="2"/>
              <w:jc w:val="center"/>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187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12</w:t>
            </w:r>
          </w:p>
        </w:tc>
        <w:tc>
          <w:tcPr>
            <w:tcW w:w="1917" w:type="dxa"/>
          </w:tcPr>
          <w:p w:rsidR="007E149F" w:rsidRDefault="00445E8A">
            <w:pPr>
              <w:pBdr>
                <w:top w:val="nil"/>
                <w:left w:val="nil"/>
                <w:bottom w:val="nil"/>
                <w:right w:val="nil"/>
                <w:between w:val="nil"/>
              </w:pBdr>
              <w:spacing w:line="240" w:lineRule="auto"/>
              <w:ind w:hanging="2"/>
              <w:jc w:val="both"/>
              <w:rPr>
                <w:rFonts w:ascii="Times New Roman" w:hAnsi="Times New Roman"/>
                <w:color w:val="000000"/>
                <w:sz w:val="16"/>
                <w:szCs w:val="16"/>
              </w:rPr>
            </w:pPr>
            <w:r>
              <w:rPr>
                <w:rFonts w:ascii="Times New Roman" w:hAnsi="Times New Roman"/>
                <w:color w:val="000000"/>
                <w:sz w:val="16"/>
                <w:szCs w:val="16"/>
              </w:rPr>
              <w:t>Капітальний ремонт з благоустроєм  дитячого майданчика за адресою: Україна, Київська область, Фастівський район, Боярська територіальна громада, м. Боярка, вул. Молодіжна, 5 б”</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xml:space="preserve">ТОВ </w:t>
            </w:r>
            <w:r>
              <w:rPr>
                <w:rFonts w:ascii="Times New Roman" w:hAnsi="Times New Roman"/>
                <w:color w:val="000000"/>
                <w:sz w:val="16"/>
                <w:szCs w:val="16"/>
              </w:rPr>
              <w:br/>
              <w:t>"ПЕКЕР ТА ПАРТНЕРИ"</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31.10.2025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1 420,000</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1 420,000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13</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Нове будівництво майданчика для стоянки </w:t>
            </w:r>
            <w:r>
              <w:rPr>
                <w:rFonts w:ascii="Times New Roman" w:hAnsi="Times New Roman"/>
                <w:color w:val="000000"/>
                <w:sz w:val="16"/>
                <w:szCs w:val="16"/>
              </w:rPr>
              <w:br/>
              <w:t>транспортних засобів вздовж залізниці, біля</w:t>
            </w:r>
            <w:r>
              <w:rPr>
                <w:rFonts w:ascii="Times New Roman" w:hAnsi="Times New Roman"/>
                <w:color w:val="000000"/>
                <w:sz w:val="16"/>
                <w:szCs w:val="16"/>
              </w:rPr>
              <w:br/>
              <w:t xml:space="preserve"> платформи залізничної станції "Тарасівка" в с.</w:t>
            </w:r>
            <w:r>
              <w:rPr>
                <w:rFonts w:ascii="Times New Roman" w:hAnsi="Times New Roman"/>
                <w:color w:val="000000"/>
                <w:sz w:val="16"/>
                <w:szCs w:val="16"/>
              </w:rPr>
              <w:br/>
              <w:t>Тарасівка Боярської міської територіальної громади Фастівського району Київської області</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ТОВ  ПБК "ДОНТРАНС"</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30.09.2025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209,494</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209,494</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1875"/>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14</w:t>
            </w:r>
          </w:p>
        </w:tc>
        <w:tc>
          <w:tcPr>
            <w:tcW w:w="1917" w:type="dxa"/>
            <w:vAlign w:val="center"/>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Реконструкція водогону від станції II-го підйому </w:t>
            </w:r>
            <w:r>
              <w:rPr>
                <w:rFonts w:ascii="Times New Roman" w:hAnsi="Times New Roman"/>
                <w:color w:val="000000"/>
                <w:sz w:val="16"/>
                <w:szCs w:val="16"/>
              </w:rPr>
              <w:br/>
              <w:t xml:space="preserve">до станції III-го підйому  за адресою: Київська </w:t>
            </w:r>
            <w:r>
              <w:rPr>
                <w:rFonts w:ascii="Times New Roman" w:hAnsi="Times New Roman"/>
                <w:color w:val="000000"/>
                <w:sz w:val="16"/>
                <w:szCs w:val="16"/>
              </w:rPr>
              <w:br/>
              <w:t>область,Фастівський район, Боярська міська</w:t>
            </w:r>
            <w:r>
              <w:rPr>
                <w:rFonts w:ascii="Times New Roman" w:hAnsi="Times New Roman"/>
                <w:color w:val="000000"/>
                <w:sz w:val="16"/>
                <w:szCs w:val="16"/>
              </w:rPr>
              <w:br/>
              <w:t xml:space="preserve"> територіальна громада</w:t>
            </w:r>
          </w:p>
        </w:tc>
        <w:tc>
          <w:tcPr>
            <w:tcW w:w="992" w:type="dxa"/>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 xml:space="preserve">ТОВ  </w:t>
            </w:r>
            <w:r>
              <w:rPr>
                <w:rFonts w:ascii="Times New Roman" w:hAnsi="Times New Roman"/>
                <w:color w:val="000000"/>
                <w:sz w:val="16"/>
                <w:szCs w:val="16"/>
              </w:rPr>
              <w:br/>
              <w:t>"ІНЖИНІРИНГОВА</w:t>
            </w:r>
            <w:r>
              <w:rPr>
                <w:rFonts w:ascii="Times New Roman" w:hAnsi="Times New Roman"/>
                <w:color w:val="000000"/>
                <w:sz w:val="16"/>
                <w:szCs w:val="16"/>
              </w:rPr>
              <w:br/>
              <w:t xml:space="preserve"> КОМПАНІЯ </w:t>
            </w:r>
            <w:r>
              <w:rPr>
                <w:rFonts w:ascii="Times New Roman" w:hAnsi="Times New Roman"/>
                <w:color w:val="000000"/>
                <w:sz w:val="16"/>
                <w:szCs w:val="16"/>
              </w:rPr>
              <w:br/>
              <w:t>"УКРЕНЕРГО"</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07.11.2025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1 002,237</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1 002,237</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40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15</w:t>
            </w:r>
          </w:p>
        </w:tc>
        <w:tc>
          <w:tcPr>
            <w:tcW w:w="1917" w:type="dxa"/>
            <w:vAlign w:val="center"/>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xml:space="preserve">Капітальний ремонт (термосанація) Тарасівського </w:t>
            </w:r>
            <w:r>
              <w:rPr>
                <w:rFonts w:ascii="Times New Roman" w:hAnsi="Times New Roman"/>
                <w:color w:val="000000"/>
                <w:sz w:val="16"/>
                <w:szCs w:val="16"/>
              </w:rPr>
              <w:br/>
              <w:t xml:space="preserve">закладу дошкільної освіти «Віночок» Боярської </w:t>
            </w:r>
            <w:r>
              <w:rPr>
                <w:rFonts w:ascii="Times New Roman" w:hAnsi="Times New Roman"/>
                <w:color w:val="000000"/>
                <w:sz w:val="16"/>
                <w:szCs w:val="16"/>
              </w:rPr>
              <w:br/>
              <w:t xml:space="preserve">міської ради,  за адресою: Україна, Київська </w:t>
            </w:r>
            <w:r>
              <w:rPr>
                <w:rFonts w:ascii="Times New Roman" w:hAnsi="Times New Roman"/>
                <w:color w:val="000000"/>
                <w:sz w:val="16"/>
                <w:szCs w:val="16"/>
              </w:rPr>
              <w:br/>
              <w:t xml:space="preserve">область, Фастівський район, с. Тарасівка, </w:t>
            </w:r>
            <w:r>
              <w:rPr>
                <w:rFonts w:ascii="Times New Roman" w:hAnsi="Times New Roman"/>
                <w:color w:val="000000"/>
                <w:sz w:val="16"/>
                <w:szCs w:val="16"/>
              </w:rPr>
              <w:br/>
              <w:t xml:space="preserve">Боярська територіальна громада, пров. </w:t>
            </w:r>
            <w:r>
              <w:rPr>
                <w:rFonts w:ascii="Times New Roman" w:hAnsi="Times New Roman"/>
                <w:color w:val="000000"/>
                <w:sz w:val="16"/>
                <w:szCs w:val="16"/>
              </w:rPr>
              <w:br/>
              <w:t>В. Погребного, 2а»</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ФОП БУРДЕНЮК ІГОР БОГДАНОВИЧ</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30.04.2025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690,000</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690,000</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r w:rsidR="007E149F">
        <w:trPr>
          <w:trHeight w:val="2250"/>
        </w:trPr>
        <w:tc>
          <w:tcPr>
            <w:tcW w:w="493"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16</w:t>
            </w:r>
          </w:p>
        </w:tc>
        <w:tc>
          <w:tcPr>
            <w:tcW w:w="1917"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"Реконстркція підвального приміщення подвійного призначення (облаштування найпростішого укриття) БАЛ "Лідер": м.Боярка, вул.Сагайдачного, 62 (коригування 2)</w:t>
            </w:r>
            <w:r>
              <w:rPr>
                <w:rFonts w:ascii="Times New Roman" w:hAnsi="Times New Roman"/>
                <w:color w:val="000000"/>
                <w:sz w:val="16"/>
                <w:szCs w:val="16"/>
              </w:rPr>
              <w:br/>
              <w:t>(пожежна сигналізація)</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ФОП Єфіменко Ігор Володимирович</w:t>
            </w:r>
          </w:p>
        </w:tc>
        <w:tc>
          <w:tcPr>
            <w:tcW w:w="851"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06.11.2025</w:t>
            </w:r>
          </w:p>
        </w:tc>
        <w:tc>
          <w:tcPr>
            <w:tcW w:w="992"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49,840</w:t>
            </w:r>
          </w:p>
        </w:tc>
        <w:tc>
          <w:tcPr>
            <w:tcW w:w="992"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134" w:type="dxa"/>
          </w:tcPr>
          <w:p w:rsidR="007E149F" w:rsidRDefault="00445E8A">
            <w:pPr>
              <w:pBdr>
                <w:top w:val="nil"/>
                <w:left w:val="nil"/>
                <w:bottom w:val="nil"/>
                <w:right w:val="nil"/>
                <w:between w:val="nil"/>
              </w:pBdr>
              <w:spacing w:line="240" w:lineRule="auto"/>
              <w:ind w:hanging="2"/>
              <w:rPr>
                <w:rFonts w:ascii="Times New Roman" w:hAnsi="Times New Roman"/>
                <w:color w:val="000000"/>
                <w:sz w:val="16"/>
                <w:szCs w:val="16"/>
              </w:rPr>
            </w:pPr>
            <w:r>
              <w:rPr>
                <w:rFonts w:ascii="Times New Roman" w:hAnsi="Times New Roman"/>
                <w:color w:val="000000"/>
                <w:sz w:val="16"/>
                <w:szCs w:val="16"/>
              </w:rPr>
              <w:t> </w:t>
            </w:r>
          </w:p>
        </w:tc>
        <w:tc>
          <w:tcPr>
            <w:tcW w:w="1560" w:type="dxa"/>
            <w:vAlign w:val="center"/>
          </w:tcPr>
          <w:p w:rsidR="007E149F" w:rsidRDefault="00445E8A">
            <w:pPr>
              <w:pBdr>
                <w:top w:val="nil"/>
                <w:left w:val="nil"/>
                <w:bottom w:val="nil"/>
                <w:right w:val="nil"/>
                <w:between w:val="nil"/>
              </w:pBdr>
              <w:spacing w:line="240" w:lineRule="auto"/>
              <w:ind w:hanging="2"/>
              <w:jc w:val="center"/>
              <w:rPr>
                <w:rFonts w:ascii="Times New Roman" w:hAnsi="Times New Roman"/>
                <w:color w:val="000000"/>
                <w:sz w:val="16"/>
                <w:szCs w:val="16"/>
              </w:rPr>
            </w:pPr>
            <w:r>
              <w:rPr>
                <w:rFonts w:ascii="Times New Roman" w:hAnsi="Times New Roman"/>
                <w:color w:val="000000"/>
                <w:sz w:val="16"/>
                <w:szCs w:val="16"/>
              </w:rPr>
              <w:t>49,84</w:t>
            </w:r>
          </w:p>
        </w:tc>
        <w:tc>
          <w:tcPr>
            <w:tcW w:w="850" w:type="dxa"/>
          </w:tcPr>
          <w:p w:rsidR="007E149F" w:rsidRDefault="00445E8A">
            <w:pPr>
              <w:pBdr>
                <w:top w:val="nil"/>
                <w:left w:val="nil"/>
                <w:bottom w:val="nil"/>
                <w:right w:val="nil"/>
                <w:between w:val="nil"/>
              </w:pBdr>
              <w:spacing w:line="240" w:lineRule="auto"/>
              <w:ind w:hanging="2"/>
              <w:rPr>
                <w:rFonts w:ascii="Calibri" w:hAnsi="Calibri" w:cs="Calibri"/>
                <w:color w:val="000000"/>
                <w:sz w:val="16"/>
                <w:szCs w:val="16"/>
              </w:rPr>
            </w:pPr>
            <w:r>
              <w:rPr>
                <w:rFonts w:ascii="Calibri" w:eastAsia="Calibri" w:hAnsi="Calibri" w:cs="Calibri"/>
                <w:color w:val="000000"/>
                <w:sz w:val="16"/>
                <w:szCs w:val="16"/>
              </w:rPr>
              <w:t> </w:t>
            </w:r>
          </w:p>
        </w:tc>
      </w:tr>
    </w:tbl>
    <w:p w:rsidR="007E149F" w:rsidRDefault="007E149F">
      <w:pPr>
        <w:pBdr>
          <w:top w:val="nil"/>
          <w:left w:val="nil"/>
          <w:bottom w:val="nil"/>
          <w:right w:val="nil"/>
          <w:between w:val="nil"/>
        </w:pBdr>
        <w:spacing w:line="360" w:lineRule="auto"/>
        <w:ind w:left="0" w:hanging="3"/>
        <w:jc w:val="center"/>
        <w:rPr>
          <w:b/>
          <w:bCs/>
          <w:szCs w:val="28"/>
        </w:rPr>
      </w:pPr>
    </w:p>
    <w:p w:rsidR="007E149F" w:rsidRPr="00EB2EDC" w:rsidRDefault="00445E8A" w:rsidP="00EB2EDC">
      <w:pPr>
        <w:pBdr>
          <w:top w:val="nil"/>
          <w:left w:val="nil"/>
          <w:bottom w:val="nil"/>
          <w:right w:val="nil"/>
          <w:between w:val="nil"/>
        </w:pBdr>
        <w:spacing w:line="360" w:lineRule="auto"/>
        <w:ind w:leftChars="0" w:left="0" w:firstLineChars="202" w:firstLine="566"/>
        <w:jc w:val="center"/>
        <w:rPr>
          <w:b/>
          <w:bCs/>
          <w:color w:val="000000" w:themeColor="text1"/>
          <w:szCs w:val="28"/>
        </w:rPr>
      </w:pPr>
      <w:r w:rsidRPr="00EB2EDC">
        <w:rPr>
          <w:b/>
          <w:bCs/>
          <w:color w:val="000000" w:themeColor="text1"/>
          <w:szCs w:val="28"/>
        </w:rPr>
        <w:t>Інвестиційна діяльність</w:t>
      </w:r>
    </w:p>
    <w:p w:rsidR="007E149F" w:rsidRPr="00EB2EDC" w:rsidRDefault="00445E8A" w:rsidP="00EB2EDC">
      <w:pPr>
        <w:pBdr>
          <w:top w:val="nil"/>
          <w:left w:val="nil"/>
          <w:bottom w:val="nil"/>
          <w:right w:val="nil"/>
          <w:between w:val="nil"/>
        </w:pBdr>
        <w:spacing w:line="360" w:lineRule="auto"/>
        <w:ind w:leftChars="0" w:left="0" w:firstLineChars="202" w:firstLine="566"/>
        <w:jc w:val="both"/>
        <w:rPr>
          <w:color w:val="000000" w:themeColor="text1"/>
          <w:szCs w:val="28"/>
        </w:rPr>
      </w:pPr>
      <w:r w:rsidRPr="00EB2EDC">
        <w:rPr>
          <w:color w:val="000000" w:themeColor="text1"/>
          <w:szCs w:val="28"/>
        </w:rPr>
        <w:t xml:space="preserve">Відповідно “Порядку підготовки публічних інвестиційних проектів та програм публічних інвестицій”, затвердженого постановою Кабінету Міністрів </w:t>
      </w:r>
      <w:r w:rsidRPr="00EB2EDC">
        <w:rPr>
          <w:color w:val="000000" w:themeColor="text1"/>
          <w:szCs w:val="28"/>
        </w:rPr>
        <w:lastRenderedPageBreak/>
        <w:t>України від 28.02.2025 № 527, сектором з питань управління публічними інвестиціями Управління міжнародного співробітництва, економічного аналізу та стратегічних комунікацій внесено до системи DREAM 28 проєктів та 2 програми публічних інвестицій, затверджених СППІ громади.</w:t>
      </w:r>
    </w:p>
    <w:p w:rsidR="007E149F" w:rsidRDefault="007E149F">
      <w:pPr>
        <w:pBdr>
          <w:top w:val="nil"/>
          <w:left w:val="nil"/>
          <w:bottom w:val="nil"/>
          <w:right w:val="nil"/>
          <w:between w:val="nil"/>
        </w:pBdr>
        <w:spacing w:line="360" w:lineRule="auto"/>
        <w:ind w:left="0" w:hanging="3"/>
        <w:jc w:val="center"/>
        <w:rPr>
          <w:b/>
          <w:bCs/>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Екологічна безпека, удосконалення системи поводження з твердими побутовими відходами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u w:val="single"/>
        </w:rPr>
      </w:pPr>
      <w:r>
        <w:rPr>
          <w:rFonts w:ascii="Times New Roman" w:hAnsi="Times New Roman"/>
          <w:i/>
          <w:iCs/>
          <w:color w:val="000000"/>
          <w:szCs w:val="28"/>
          <w:u w:val="single"/>
        </w:rPr>
        <w:t>Екологічна безпека</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Департаментом екології і природних ресурсів КОДА в м. Боярка встановлено надпотужний стаціонарний пост автоматизованої системи моніторингу атмосферного повітря, доступ до даних стаціонарного посту на період дії воєнного стану, закрито відповідно до Указу Президента України.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Відповідно до п. 4 Правил поліпшення якісного складу лісів, затверджених постановою КМУ № 724 від 12.05.2007 представниками виконавчого комітету Боярської міської ради, спільно з працівниками ВП НУБІП України «Боярська ЛДС», ДСЛП Київлісозахист», ВО «Укрдержліспроект» виконавчим комітетом протягом 9 місяців 2025 року було проведено 2 обстеження деревостанів, в яких планується проведення рубки формування і оздоровлення лісів на території Боярської міської територіальної громади.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На виконання заходів Програми охорони довкілля та раціонального використання природних ресурсів Київської області на 2023 – 2026 роки за звітний період проведено роботи з ліквідації несанкціонованих сміттєзвалищ загальним об’ємом 1719 м3 з обсягом фінансування з місцевого бюджету 1001,0 тис. грн.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На виконання заходів Програми охорони навколишнього природного середовища у Боярській міській територіальній громаді на 2024-2025 роки проведено роботи з озеленення м. Боярка з обсягом фінансування з місцевого бюджету 17,03 тис. грн. За звітний період всього висаджено 13 лип.</w:t>
      </w:r>
    </w:p>
    <w:p w:rsidR="007E149F" w:rsidRDefault="00445E8A" w:rsidP="00EB2EDC">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Протягом 2025 року КП «Громада» було висаджено більше 300 саджанців сосни в лісопарковій зоні навпроти дошкільного закладу «Віночок», 60 саджанців </w:t>
      </w:r>
      <w:r>
        <w:rPr>
          <w:rFonts w:ascii="Times New Roman" w:hAnsi="Times New Roman"/>
          <w:color w:val="000000"/>
          <w:szCs w:val="28"/>
        </w:rPr>
        <w:lastRenderedPageBreak/>
        <w:t>берези по вул. Шкільній на «березовій алеї» та самшити по вул. В. Погребного с. Тарасівка. Також були розчищені кущі троянд по вул. Шевченка с. Тарасівка.</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u w:val="single"/>
        </w:rPr>
      </w:pPr>
      <w:r>
        <w:rPr>
          <w:rFonts w:ascii="Times New Roman" w:hAnsi="Times New Roman"/>
          <w:i/>
          <w:iCs/>
          <w:color w:val="000000"/>
          <w:szCs w:val="28"/>
          <w:u w:val="single"/>
        </w:rPr>
        <w:t>Поводження з твердими побутовими відходами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Комунальне підприємство «Громада» Боярської міської ради</w:t>
      </w:r>
      <w:r>
        <w:rPr>
          <w:rFonts w:ascii="Times New Roman" w:hAnsi="Times New Roman"/>
          <w:color w:val="000000"/>
          <w:szCs w:val="28"/>
        </w:rPr>
        <w:t xml:space="preserve"> забезпечує регулярне збирання та вивезення твердих побутових відходів, включаючи приватні будинки, багатоквартирні будинки, лікарні, навчальні заклади, магазини, заклади харчування та інші об’єкти.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Також підприємство надає послуги по вивезенню ремонтних та великогабаритних побутових відходів, рідких відходів та рослинних решток за індивідуальними замовленнями.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КП «Громада» на постійній основі здійснює ліквідацію (вивіз) несанкціонованих сміттєзвалищ на території Боярської громади. За 9 місяців за рахунок місцевого бюджету вивезено сміття на загальну суму 1001,04 тис. грн.</w:t>
      </w:r>
    </w:p>
    <w:p w:rsidR="007E149F" w:rsidRDefault="00445E8A" w:rsidP="00EB2EDC">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b/>
          <w:bCs/>
          <w:color w:val="000000"/>
          <w:szCs w:val="28"/>
        </w:rPr>
        <w:t>Комунальним підприємством «Муніципальна безпека» Боярської міської ради</w:t>
      </w:r>
      <w:r>
        <w:rPr>
          <w:rFonts w:ascii="Times New Roman" w:hAnsi="Times New Roman"/>
          <w:color w:val="000000"/>
          <w:szCs w:val="28"/>
        </w:rPr>
        <w:t xml:space="preserve"> здійснюються заходи щодо контролю за станом благоустрою Боярської міської територіальної громади, дотримання вимог відповідних правил благоустрою, здійснення суб’єктами господарської діяльності роздрібної та вуличної торгівлі, в тому числі недопущення та протидії стихійній торгівлі. Одночасно здійснюється контроль за дотриманням правил санітарії, чистотою вулиць, парків, скверів та прибудинкових територій.</w:t>
      </w:r>
    </w:p>
    <w:p w:rsidR="007E149F" w:rsidRDefault="00445E8A" w:rsidP="00EB2EDC">
      <w:pPr>
        <w:pBdr>
          <w:top w:val="nil"/>
          <w:left w:val="nil"/>
          <w:bottom w:val="nil"/>
          <w:right w:val="nil"/>
          <w:between w:val="nil"/>
        </w:pBdr>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За І квартал 2025 року інспекторами з благоустрою за порушення правил збуло складено 107 протоколів про адміністративні правопорушення та видано 39 приписів для усунення порушень; </w:t>
      </w:r>
      <w:r>
        <w:rPr>
          <w:rFonts w:ascii="Times New Roman" w:hAnsi="Times New Roman"/>
          <w:color w:val="000000"/>
          <w:szCs w:val="28"/>
          <w:u w:val="single"/>
        </w:rPr>
        <w:t xml:space="preserve">за ІІ квартал – </w:t>
      </w:r>
      <w:r>
        <w:rPr>
          <w:rFonts w:ascii="Times New Roman" w:hAnsi="Times New Roman"/>
          <w:color w:val="000000"/>
          <w:szCs w:val="28"/>
        </w:rPr>
        <w:t xml:space="preserve">110 протоколів та 46 приписів, </w:t>
      </w:r>
      <w:r>
        <w:rPr>
          <w:rFonts w:ascii="Times New Roman" w:hAnsi="Times New Roman"/>
          <w:color w:val="000000"/>
          <w:szCs w:val="28"/>
          <w:u w:val="single"/>
        </w:rPr>
        <w:t>за ІІІ квартал</w:t>
      </w:r>
      <w:r>
        <w:rPr>
          <w:rFonts w:ascii="Times New Roman" w:hAnsi="Times New Roman"/>
          <w:color w:val="000000"/>
          <w:szCs w:val="28"/>
        </w:rPr>
        <w:t xml:space="preserve"> – 87 протоколів та 55 приписів.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Безпека життєдіяльності та цивільний захист</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ab/>
        <w:t>Протягом 9 місяців 2025 року з метою профілактики правопорушень та забезпечення охорони громадського порядку інспекторами Комунального підприємства «Муніципальна безпека» Боярської міської ради здійснювалося цілодобове патрулювання території Боярської міської територіальної громади.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Під час патрулювання разом з працівниками Національної поліції України </w:t>
      </w:r>
      <w:r>
        <w:rPr>
          <w:rFonts w:ascii="Times New Roman" w:hAnsi="Times New Roman"/>
          <w:color w:val="000000"/>
          <w:szCs w:val="28"/>
        </w:rPr>
        <w:lastRenderedPageBreak/>
        <w:t>було перевірено 2069 осіб.</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Інспектори КП «Муніципальна безпека» на постійній основі задіяні до спільних відпрацювань разом з працівниками Національної поліції та представниками Фастівського районного територіального центру комплектування та соціальної підтримки (далі також – РТЦК та СП). Під час чергувань та спільних відпрацювань було виявлено 204 особи, які знаходяться в розшуку ТЦК та СП, дані особи були доставлені до ТЦК та СП для проходження ВЛК.</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 xml:space="preserve">Інспектори щоденно контролюють дотримання громадського порядку у місцях загального користування та відпочинку на території Боярської міської територіальної громади. </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Інспектори КП «Муніципальна безпека» надавали допомогу працівникам ДСНС по ліквідації наслідків падіння ворожих ракет в Боярській міській територіальній громаді. Інспекторами було здійснено ретельне обстеження території громади з метою виявлення, збору та знешкодження залишків ракет.</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rPr>
        <w:t>Здійснюються заходи щодо контролю за станом благоустрою Боярської міської територіальної громади, недопущення стихійної торгівлі.</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sidRPr="006941B7">
        <w:rPr>
          <w:rFonts w:ascii="Times New Roman" w:hAnsi="Times New Roman"/>
          <w:b/>
          <w:bCs/>
          <w:color w:val="000000"/>
          <w:szCs w:val="28"/>
        </w:rPr>
        <w:t>Земельні ресурси</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lang w:val="uk-UA"/>
        </w:rPr>
      </w:pPr>
      <w:r>
        <w:rPr>
          <w:rFonts w:ascii="Times New Roman" w:hAnsi="Times New Roman"/>
          <w:color w:val="000000"/>
          <w:szCs w:val="28"/>
          <w:lang w:val="uk-UA"/>
        </w:rPr>
        <w:t>Протягом січня – вересня 2025 року з метою реалізації державної політики в сфері земельних ресурсів відділом землевпорядкування, кадастру та екології:</w:t>
      </w:r>
    </w:p>
    <w:p w:rsidR="00901A9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lang w:val="uk-UA"/>
        </w:rPr>
      </w:pPr>
      <w:r w:rsidRPr="006941B7">
        <w:rPr>
          <w:rFonts w:ascii="Times New Roman" w:hAnsi="Times New Roman" w:hint="eastAsia"/>
          <w:color w:val="000000"/>
          <w:szCs w:val="28"/>
        </w:rPr>
        <w:t>Підготовлено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здано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звіти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ГУ</w:t>
      </w:r>
      <w:r w:rsidRPr="006941B7">
        <w:rPr>
          <w:rFonts w:ascii="Times New Roman" w:hAnsi="Times New Roman"/>
          <w:color w:val="000000"/>
          <w:szCs w:val="28"/>
        </w:rPr>
        <w:t xml:space="preserve"> </w:t>
      </w:r>
      <w:r w:rsidRPr="006941B7">
        <w:rPr>
          <w:rFonts w:ascii="Times New Roman" w:hAnsi="Times New Roman" w:hint="eastAsia"/>
          <w:color w:val="000000"/>
          <w:szCs w:val="28"/>
        </w:rPr>
        <w:t>ДПС</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Київській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області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 xml:space="preserve">, </w:t>
      </w:r>
      <w:r w:rsidRPr="006941B7">
        <w:rPr>
          <w:rFonts w:ascii="Times New Roman" w:hAnsi="Times New Roman" w:hint="eastAsia"/>
          <w:color w:val="000000"/>
          <w:szCs w:val="28"/>
        </w:rPr>
        <w:t>які</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перебувають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користуванні</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умовах</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т</w:t>
      </w:r>
      <w:r w:rsidRPr="006941B7">
        <w:rPr>
          <w:rFonts w:ascii="Times New Roman" w:hAnsi="Times New Roman"/>
          <w:color w:val="000000"/>
          <w:szCs w:val="28"/>
        </w:rPr>
        <w:t>.</w:t>
      </w:r>
      <w:r w:rsidRPr="006941B7">
        <w:rPr>
          <w:rFonts w:ascii="Times New Roman" w:hAnsi="Times New Roman" w:hint="eastAsia"/>
          <w:color w:val="000000"/>
          <w:szCs w:val="28"/>
        </w:rPr>
        <w:t>ч</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відповідно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договорів</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встановлення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сервітутів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r w:rsidR="00901A97">
        <w:rPr>
          <w:rFonts w:ascii="Times New Roman" w:hAnsi="Times New Roman"/>
          <w:color w:val="000000"/>
          <w:szCs w:val="28"/>
          <w:lang w:val="uk-UA"/>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моніторингову</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спільно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ГУ</w:t>
      </w:r>
      <w:r w:rsidRPr="006941B7">
        <w:rPr>
          <w:rFonts w:ascii="Times New Roman" w:hAnsi="Times New Roman"/>
          <w:color w:val="000000"/>
          <w:szCs w:val="28"/>
        </w:rPr>
        <w:t xml:space="preserve"> </w:t>
      </w:r>
      <w:r w:rsidRPr="006941B7">
        <w:rPr>
          <w:rFonts w:ascii="Times New Roman" w:hAnsi="Times New Roman" w:hint="eastAsia"/>
          <w:color w:val="000000"/>
          <w:szCs w:val="28"/>
        </w:rPr>
        <w:t>ДПС</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Київській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області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 xml:space="preserve">, </w:t>
      </w:r>
      <w:r w:rsidRPr="006941B7">
        <w:rPr>
          <w:rFonts w:ascii="Times New Roman" w:hAnsi="Times New Roman" w:hint="eastAsia"/>
          <w:color w:val="000000"/>
          <w:szCs w:val="28"/>
        </w:rPr>
        <w:t>які</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перебувають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громадян</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юридичних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осіб</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використовуються</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комерційних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промислових</w:t>
      </w:r>
      <w:r w:rsidRPr="006941B7">
        <w:rPr>
          <w:rFonts w:ascii="Times New Roman" w:hAnsi="Times New Roman"/>
          <w:color w:val="000000"/>
          <w:szCs w:val="28"/>
        </w:rPr>
        <w:t xml:space="preserve"> </w:t>
      </w:r>
      <w:r w:rsidRPr="006941B7">
        <w:rPr>
          <w:rFonts w:ascii="Times New Roman" w:hAnsi="Times New Roman" w:hint="eastAsia"/>
          <w:color w:val="000000"/>
          <w:szCs w:val="28"/>
        </w:rPr>
        <w:t>цілях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звірки</w:t>
      </w:r>
      <w:r w:rsidRPr="006941B7">
        <w:rPr>
          <w:rFonts w:ascii="Times New Roman" w:hAnsi="Times New Roman"/>
          <w:color w:val="000000"/>
          <w:szCs w:val="28"/>
        </w:rPr>
        <w:t>/</w:t>
      </w:r>
      <w:r w:rsidRPr="006941B7">
        <w:rPr>
          <w:rFonts w:ascii="Times New Roman" w:hAnsi="Times New Roman" w:hint="eastAsia"/>
          <w:color w:val="000000"/>
          <w:szCs w:val="28"/>
        </w:rPr>
        <w:t>внесення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відомостей</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базу</w:t>
      </w:r>
      <w:r w:rsidRPr="006941B7">
        <w:rPr>
          <w:rFonts w:ascii="Times New Roman" w:hAnsi="Times New Roman"/>
          <w:color w:val="000000"/>
          <w:szCs w:val="28"/>
        </w:rPr>
        <w:t xml:space="preserve"> </w:t>
      </w:r>
      <w:r w:rsidRPr="006941B7">
        <w:rPr>
          <w:rFonts w:ascii="Times New Roman" w:hAnsi="Times New Roman" w:hint="eastAsia"/>
          <w:color w:val="000000"/>
          <w:szCs w:val="28"/>
        </w:rPr>
        <w:t>даних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інформаційних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систем</w:t>
      </w:r>
      <w:r w:rsidRPr="006941B7">
        <w:rPr>
          <w:rFonts w:ascii="Times New Roman" w:hAnsi="Times New Roman"/>
          <w:color w:val="000000"/>
          <w:szCs w:val="28"/>
        </w:rPr>
        <w:t xml:space="preserve"> </w:t>
      </w:r>
      <w:r w:rsidRPr="006941B7">
        <w:rPr>
          <w:rFonts w:ascii="Times New Roman" w:hAnsi="Times New Roman" w:hint="eastAsia"/>
          <w:color w:val="000000"/>
          <w:szCs w:val="28"/>
        </w:rPr>
        <w:t>центрального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органу</w:t>
      </w:r>
      <w:r w:rsidRPr="006941B7">
        <w:rPr>
          <w:rFonts w:ascii="Times New Roman" w:hAnsi="Times New Roman"/>
          <w:color w:val="000000"/>
          <w:szCs w:val="28"/>
        </w:rPr>
        <w:t xml:space="preserve"> </w:t>
      </w:r>
      <w:r w:rsidRPr="006941B7">
        <w:rPr>
          <w:rFonts w:ascii="Times New Roman" w:hAnsi="Times New Roman" w:hint="eastAsia"/>
          <w:color w:val="000000"/>
          <w:szCs w:val="28"/>
        </w:rPr>
        <w:t>виконавчої</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реалізує</w:t>
      </w:r>
      <w:r w:rsidRPr="006941B7">
        <w:rPr>
          <w:rFonts w:ascii="Times New Roman" w:hAnsi="Times New Roman"/>
          <w:color w:val="000000"/>
          <w:szCs w:val="28"/>
        </w:rPr>
        <w:t xml:space="preserve"> </w:t>
      </w:r>
      <w:r w:rsidRPr="006941B7">
        <w:rPr>
          <w:rFonts w:ascii="Times New Roman" w:hAnsi="Times New Roman" w:hint="eastAsia"/>
          <w:color w:val="000000"/>
          <w:szCs w:val="28"/>
        </w:rPr>
        <w:t>державну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податкову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політику</w:t>
      </w:r>
      <w:r w:rsidRPr="006941B7">
        <w:rPr>
          <w:rFonts w:ascii="Times New Roman" w:hAnsi="Times New Roman"/>
          <w:color w:val="000000"/>
          <w:szCs w:val="28"/>
        </w:rPr>
        <w:t xml:space="preserve"> </w:t>
      </w:r>
      <w:r w:rsidRPr="006941B7">
        <w:rPr>
          <w:rFonts w:ascii="Times New Roman" w:hAnsi="Times New Roman" w:hint="eastAsia"/>
          <w:color w:val="000000"/>
          <w:szCs w:val="28"/>
        </w:rPr>
        <w:t>для</w:t>
      </w:r>
      <w:r w:rsidRPr="006941B7">
        <w:rPr>
          <w:rFonts w:ascii="Times New Roman" w:hAnsi="Times New Roman"/>
          <w:color w:val="000000"/>
          <w:szCs w:val="28"/>
        </w:rPr>
        <w:t xml:space="preserve"> </w:t>
      </w:r>
      <w:r w:rsidRPr="006941B7">
        <w:rPr>
          <w:rFonts w:ascii="Times New Roman" w:hAnsi="Times New Roman" w:hint="eastAsia"/>
          <w:color w:val="000000"/>
          <w:szCs w:val="28"/>
        </w:rPr>
        <w:t>оплати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податку</w:t>
      </w:r>
      <w:r w:rsidRPr="006941B7">
        <w:rPr>
          <w:rFonts w:ascii="Times New Roman" w:hAnsi="Times New Roman"/>
          <w:color w:val="000000"/>
          <w:szCs w:val="28"/>
        </w:rPr>
        <w:t xml:space="preserve"> </w:t>
      </w:r>
      <w:r w:rsidRPr="006941B7">
        <w:rPr>
          <w:rFonts w:ascii="Times New Roman" w:hAnsi="Times New Roman" w:hint="eastAsia"/>
          <w:color w:val="000000"/>
          <w:szCs w:val="28"/>
        </w:rPr>
        <w:t>фізичними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юридичними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особами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являються</w:t>
      </w:r>
      <w:r w:rsidRPr="006941B7">
        <w:rPr>
          <w:rFonts w:ascii="Times New Roman" w:hAnsi="Times New Roman"/>
          <w:color w:val="000000"/>
          <w:szCs w:val="28"/>
        </w:rPr>
        <w:t xml:space="preserve"> </w:t>
      </w:r>
      <w:r w:rsidRPr="006941B7">
        <w:rPr>
          <w:rFonts w:ascii="Times New Roman" w:hAnsi="Times New Roman" w:hint="eastAsia"/>
          <w:color w:val="000000"/>
          <w:szCs w:val="28"/>
        </w:rPr>
        <w:t>платниками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податку</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lastRenderedPageBreak/>
        <w:t>Розглянуто</w:t>
      </w:r>
      <w:r w:rsidRPr="006941B7">
        <w:rPr>
          <w:rFonts w:ascii="Times New Roman" w:hAnsi="Times New Roman"/>
          <w:color w:val="000000"/>
          <w:szCs w:val="28"/>
        </w:rPr>
        <w:t xml:space="preserve"> </w:t>
      </w:r>
      <w:r w:rsidRPr="006941B7">
        <w:rPr>
          <w:rFonts w:ascii="Times New Roman" w:hAnsi="Times New Roman" w:hint="eastAsia"/>
          <w:color w:val="000000"/>
          <w:szCs w:val="28"/>
        </w:rPr>
        <w:t>письмові</w:t>
      </w:r>
      <w:r w:rsidRPr="006941B7">
        <w:rPr>
          <w:rFonts w:ascii="Times New Roman" w:hAnsi="Times New Roman"/>
          <w:color w:val="000000"/>
          <w:szCs w:val="28"/>
        </w:rPr>
        <w:t xml:space="preserve"> </w:t>
      </w:r>
      <w:r w:rsidRPr="006941B7">
        <w:rPr>
          <w:rFonts w:ascii="Times New Roman" w:hAnsi="Times New Roman" w:hint="eastAsia"/>
          <w:color w:val="000000"/>
          <w:szCs w:val="28"/>
        </w:rPr>
        <w:t>заяви</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w:t>
      </w:r>
      <w:r w:rsidRPr="006941B7">
        <w:rPr>
          <w:rFonts w:ascii="Times New Roman" w:hAnsi="Times New Roman"/>
          <w:color w:val="000000"/>
          <w:szCs w:val="28"/>
        </w:rPr>
        <w:t xml:space="preserve"> </w:t>
      </w:r>
      <w:r w:rsidRPr="006941B7">
        <w:rPr>
          <w:rFonts w:ascii="Times New Roman" w:hAnsi="Times New Roman" w:hint="eastAsia"/>
          <w:color w:val="000000"/>
          <w:szCs w:val="28"/>
        </w:rPr>
        <w:t>фізичних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юридичних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осіб</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тому</w:t>
      </w:r>
      <w:r w:rsidRPr="006941B7">
        <w:rPr>
          <w:rFonts w:ascii="Times New Roman" w:hAnsi="Times New Roman"/>
          <w:color w:val="000000"/>
          <w:szCs w:val="28"/>
        </w:rPr>
        <w:t xml:space="preserve"> </w:t>
      </w:r>
      <w:r w:rsidRPr="006941B7">
        <w:rPr>
          <w:rFonts w:ascii="Times New Roman" w:hAnsi="Times New Roman" w:hint="eastAsia"/>
          <w:color w:val="000000"/>
          <w:szCs w:val="28"/>
        </w:rPr>
        <w:t>числі</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виїздом</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місцевість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а</w:t>
      </w:r>
      <w:r w:rsidRPr="006941B7">
        <w:rPr>
          <w:rFonts w:ascii="Times New Roman" w:hAnsi="Times New Roman"/>
          <w:color w:val="000000"/>
          <w:szCs w:val="28"/>
        </w:rPr>
        <w:t xml:space="preserve"> </w:t>
      </w:r>
      <w:r w:rsidRPr="006941B7">
        <w:rPr>
          <w:rFonts w:ascii="Times New Roman" w:hAnsi="Times New Roman" w:hint="eastAsia"/>
          <w:color w:val="000000"/>
          <w:szCs w:val="28"/>
        </w:rPr>
        <w:t>також</w:t>
      </w:r>
      <w:r w:rsidRPr="006941B7">
        <w:rPr>
          <w:rFonts w:ascii="Times New Roman" w:hAnsi="Times New Roman"/>
          <w:color w:val="000000"/>
          <w:szCs w:val="28"/>
        </w:rPr>
        <w:t xml:space="preserve"> </w:t>
      </w:r>
      <w:r w:rsidRPr="006941B7">
        <w:rPr>
          <w:rFonts w:ascii="Times New Roman" w:hAnsi="Times New Roman" w:hint="eastAsia"/>
          <w:color w:val="000000"/>
          <w:szCs w:val="28"/>
        </w:rPr>
        <w:t>усні</w:t>
      </w:r>
      <w:r w:rsidRPr="006941B7">
        <w:rPr>
          <w:rFonts w:ascii="Times New Roman" w:hAnsi="Times New Roman"/>
          <w:color w:val="000000"/>
          <w:szCs w:val="28"/>
        </w:rPr>
        <w:t xml:space="preserve"> </w:t>
      </w:r>
      <w:r w:rsidRPr="006941B7">
        <w:rPr>
          <w:rFonts w:ascii="Times New Roman" w:hAnsi="Times New Roman" w:hint="eastAsia"/>
          <w:color w:val="000000"/>
          <w:szCs w:val="28"/>
        </w:rPr>
        <w:t>звернення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w:t>
      </w:r>
      <w:r w:rsidRPr="006941B7">
        <w:rPr>
          <w:rFonts w:ascii="Times New Roman" w:hAnsi="Times New Roman"/>
          <w:color w:val="000000"/>
          <w:szCs w:val="28"/>
        </w:rPr>
        <w:t xml:space="preserve"> </w:t>
      </w:r>
      <w:r w:rsidRPr="006941B7">
        <w:rPr>
          <w:rFonts w:ascii="Times New Roman" w:hAnsi="Times New Roman" w:hint="eastAsia"/>
          <w:color w:val="000000"/>
          <w:szCs w:val="28"/>
        </w:rPr>
        <w:t>час</w:t>
      </w:r>
      <w:r w:rsidRPr="006941B7">
        <w:rPr>
          <w:rFonts w:ascii="Times New Roman" w:hAnsi="Times New Roman"/>
          <w:color w:val="000000"/>
          <w:szCs w:val="28"/>
        </w:rPr>
        <w:t xml:space="preserve"> </w:t>
      </w:r>
      <w:r w:rsidRPr="006941B7">
        <w:rPr>
          <w:rFonts w:ascii="Times New Roman" w:hAnsi="Times New Roman" w:hint="eastAsia"/>
          <w:color w:val="000000"/>
          <w:szCs w:val="28"/>
        </w:rPr>
        <w:t>особистого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прийому</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первинну</w:t>
      </w:r>
      <w:r w:rsidRPr="006941B7">
        <w:rPr>
          <w:rFonts w:ascii="Times New Roman" w:hAnsi="Times New Roman"/>
          <w:color w:val="000000"/>
          <w:szCs w:val="28"/>
        </w:rPr>
        <w:t xml:space="preserve"> </w:t>
      </w:r>
      <w:r w:rsidRPr="006941B7">
        <w:rPr>
          <w:rFonts w:ascii="Times New Roman" w:hAnsi="Times New Roman" w:hint="eastAsia"/>
          <w:color w:val="000000"/>
          <w:szCs w:val="28"/>
        </w:rPr>
        <w:t>правову</w:t>
      </w:r>
      <w:r w:rsidRPr="006941B7">
        <w:rPr>
          <w:rFonts w:ascii="Times New Roman" w:hAnsi="Times New Roman"/>
          <w:color w:val="000000"/>
          <w:szCs w:val="28"/>
        </w:rPr>
        <w:t xml:space="preserve"> </w:t>
      </w:r>
      <w:r w:rsidRPr="006941B7">
        <w:rPr>
          <w:rFonts w:ascii="Times New Roman" w:hAnsi="Times New Roman" w:hint="eastAsia"/>
          <w:color w:val="000000"/>
          <w:szCs w:val="28"/>
        </w:rPr>
        <w:t>допомогу</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земельному</w:t>
      </w:r>
      <w:r w:rsidRPr="006941B7">
        <w:rPr>
          <w:rFonts w:ascii="Times New Roman" w:hAnsi="Times New Roman"/>
          <w:color w:val="000000"/>
          <w:szCs w:val="28"/>
        </w:rPr>
        <w:t xml:space="preserve"> </w:t>
      </w:r>
      <w:r w:rsidRPr="006941B7">
        <w:rPr>
          <w:rFonts w:ascii="Times New Roman" w:hAnsi="Times New Roman" w:hint="eastAsia"/>
          <w:color w:val="000000"/>
          <w:szCs w:val="28"/>
        </w:rPr>
        <w:t>законодавстві</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Організовано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безперервну</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боржниками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зі</w:t>
      </w:r>
      <w:r w:rsidRPr="006941B7">
        <w:rPr>
          <w:rFonts w:ascii="Times New Roman" w:hAnsi="Times New Roman"/>
          <w:color w:val="000000"/>
          <w:szCs w:val="28"/>
        </w:rPr>
        <w:t xml:space="preserve"> </w:t>
      </w:r>
      <w:r w:rsidRPr="006941B7">
        <w:rPr>
          <w:rFonts w:ascii="Times New Roman" w:hAnsi="Times New Roman" w:hint="eastAsia"/>
          <w:color w:val="000000"/>
          <w:szCs w:val="28"/>
        </w:rPr>
        <w:t>сплати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податку</w:t>
      </w:r>
      <w:r w:rsidRPr="006941B7">
        <w:rPr>
          <w:rFonts w:ascii="Times New Roman" w:hAnsi="Times New Roman"/>
          <w:color w:val="000000"/>
          <w:szCs w:val="28"/>
        </w:rPr>
        <w:t xml:space="preserve"> </w:t>
      </w:r>
      <w:r w:rsidRPr="006941B7">
        <w:rPr>
          <w:rFonts w:ascii="Times New Roman" w:hAnsi="Times New Roman" w:hint="eastAsia"/>
          <w:color w:val="000000"/>
          <w:szCs w:val="28"/>
        </w:rPr>
        <w:t>за</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користування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результаті</w:t>
      </w:r>
      <w:r w:rsidRPr="006941B7">
        <w:rPr>
          <w:rFonts w:ascii="Times New Roman" w:hAnsi="Times New Roman"/>
          <w:color w:val="000000"/>
          <w:szCs w:val="28"/>
        </w:rPr>
        <w:t xml:space="preserve"> </w:t>
      </w:r>
      <w:r w:rsidRPr="006941B7">
        <w:rPr>
          <w:rFonts w:ascii="Times New Roman" w:hAnsi="Times New Roman" w:hint="eastAsia"/>
          <w:color w:val="000000"/>
          <w:szCs w:val="28"/>
        </w:rPr>
        <w:t>чого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збільшено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надходження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бюджету</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Забезпечено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прозорі</w:t>
      </w:r>
      <w:r w:rsidRPr="006941B7">
        <w:rPr>
          <w:rFonts w:ascii="Times New Roman" w:hAnsi="Times New Roman"/>
          <w:color w:val="000000"/>
          <w:szCs w:val="28"/>
        </w:rPr>
        <w:t xml:space="preserve"> </w:t>
      </w:r>
      <w:r w:rsidRPr="006941B7">
        <w:rPr>
          <w:rFonts w:ascii="Times New Roman" w:hAnsi="Times New Roman" w:hint="eastAsia"/>
          <w:color w:val="000000"/>
          <w:szCs w:val="28"/>
        </w:rPr>
        <w:t>і</w:t>
      </w:r>
      <w:r w:rsidRPr="006941B7">
        <w:rPr>
          <w:rFonts w:ascii="Times New Roman" w:hAnsi="Times New Roman"/>
          <w:color w:val="000000"/>
          <w:szCs w:val="28"/>
        </w:rPr>
        <w:t xml:space="preserve"> </w:t>
      </w:r>
      <w:r w:rsidRPr="006941B7">
        <w:rPr>
          <w:rFonts w:ascii="Times New Roman" w:hAnsi="Times New Roman" w:hint="eastAsia"/>
          <w:color w:val="000000"/>
          <w:szCs w:val="28"/>
        </w:rPr>
        <w:t>конкурентні</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процедури</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продажу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комунальної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аукціонах</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Укладено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договори</w:t>
      </w:r>
      <w:r w:rsidRPr="006941B7">
        <w:rPr>
          <w:rFonts w:ascii="Times New Roman" w:hAnsi="Times New Roman"/>
          <w:color w:val="000000"/>
          <w:szCs w:val="28"/>
        </w:rPr>
        <w:t xml:space="preserve"> </w:t>
      </w:r>
      <w:r w:rsidRPr="006941B7">
        <w:rPr>
          <w:rFonts w:ascii="Times New Roman" w:hAnsi="Times New Roman" w:hint="eastAsia"/>
          <w:color w:val="000000"/>
          <w:szCs w:val="28"/>
        </w:rPr>
        <w:t>купівлі</w:t>
      </w:r>
      <w:r w:rsidRPr="006941B7">
        <w:rPr>
          <w:rFonts w:ascii="Times New Roman" w:hAnsi="Times New Roman"/>
          <w:color w:val="000000"/>
          <w:szCs w:val="28"/>
        </w:rPr>
        <w:t>-</w:t>
      </w:r>
      <w:r w:rsidRPr="006941B7">
        <w:rPr>
          <w:rFonts w:ascii="Times New Roman" w:hAnsi="Times New Roman" w:hint="eastAsia"/>
          <w:color w:val="000000"/>
          <w:szCs w:val="28"/>
        </w:rPr>
        <w:t>продажу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об’єктами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нерухомого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майна</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перебувають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у</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фізичних</w:t>
      </w:r>
      <w:r w:rsidRPr="006941B7">
        <w:rPr>
          <w:rFonts w:ascii="Times New Roman" w:hAnsi="Times New Roman"/>
          <w:color w:val="000000"/>
          <w:szCs w:val="28"/>
        </w:rPr>
        <w:t>/</w:t>
      </w:r>
      <w:r w:rsidRPr="006941B7">
        <w:rPr>
          <w:rFonts w:ascii="Times New Roman" w:hAnsi="Times New Roman" w:hint="eastAsia"/>
          <w:color w:val="000000"/>
          <w:szCs w:val="28"/>
        </w:rPr>
        <w:t>юридичних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осіб</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кількості</w:t>
      </w:r>
      <w:r w:rsidRPr="006941B7">
        <w:rPr>
          <w:rFonts w:ascii="Times New Roman" w:hAnsi="Times New Roman"/>
          <w:color w:val="000000"/>
          <w:szCs w:val="28"/>
        </w:rPr>
        <w:t xml:space="preserve"> 7 </w:t>
      </w:r>
      <w:r w:rsidRPr="006941B7">
        <w:rPr>
          <w:rFonts w:ascii="Times New Roman" w:hAnsi="Times New Roman" w:hint="eastAsia"/>
          <w:color w:val="000000"/>
          <w:szCs w:val="28"/>
        </w:rPr>
        <w:t>об’єктів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збільшено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надходження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бюджету</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загальну</w:t>
      </w:r>
      <w:r w:rsidRPr="006941B7">
        <w:rPr>
          <w:rFonts w:ascii="Times New Roman" w:hAnsi="Times New Roman"/>
          <w:color w:val="000000"/>
          <w:szCs w:val="28"/>
        </w:rPr>
        <w:t xml:space="preserve"> </w:t>
      </w:r>
      <w:r w:rsidRPr="006941B7">
        <w:rPr>
          <w:rFonts w:ascii="Times New Roman" w:hAnsi="Times New Roman" w:hint="eastAsia"/>
          <w:color w:val="000000"/>
          <w:szCs w:val="28"/>
        </w:rPr>
        <w:t>суму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понад</w:t>
      </w:r>
      <w:r w:rsidRPr="006941B7">
        <w:rPr>
          <w:rFonts w:ascii="Times New Roman" w:hAnsi="Times New Roman"/>
          <w:color w:val="000000"/>
          <w:szCs w:val="28"/>
        </w:rPr>
        <w:t xml:space="preserve">  6 </w:t>
      </w:r>
      <w:r w:rsidRPr="006941B7">
        <w:rPr>
          <w:rFonts w:ascii="Times New Roman" w:hAnsi="Times New Roman" w:hint="eastAsia"/>
          <w:color w:val="000000"/>
          <w:szCs w:val="28"/>
        </w:rPr>
        <w:t>млн</w:t>
      </w:r>
      <w:r w:rsidRPr="006941B7">
        <w:rPr>
          <w:rFonts w:ascii="Times New Roman" w:hAnsi="Times New Roman"/>
          <w:color w:val="000000"/>
          <w:szCs w:val="28"/>
        </w:rPr>
        <w:t>.</w:t>
      </w:r>
      <w:r w:rsidRPr="006941B7">
        <w:rPr>
          <w:rFonts w:ascii="Times New Roman" w:hAnsi="Times New Roman" w:hint="eastAsia"/>
          <w:color w:val="000000"/>
          <w:szCs w:val="28"/>
        </w:rPr>
        <w:t>грн</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Укладено</w:t>
      </w:r>
      <w:r w:rsidRPr="006941B7">
        <w:rPr>
          <w:rFonts w:ascii="Times New Roman" w:hAnsi="Times New Roman"/>
          <w:color w:val="000000"/>
          <w:szCs w:val="28"/>
        </w:rPr>
        <w:t xml:space="preserve"> 32 </w:t>
      </w:r>
      <w:r w:rsidRPr="006941B7">
        <w:rPr>
          <w:rFonts w:ascii="Times New Roman" w:hAnsi="Times New Roman" w:hint="eastAsia"/>
          <w:color w:val="000000"/>
          <w:szCs w:val="28"/>
        </w:rPr>
        <w:t>договори</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користування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комунальної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форми</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власності</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кількості</w:t>
      </w:r>
      <w:r w:rsidRPr="006941B7">
        <w:rPr>
          <w:rFonts w:ascii="Times New Roman" w:hAnsi="Times New Roman"/>
          <w:color w:val="000000"/>
          <w:szCs w:val="28"/>
        </w:rPr>
        <w:t xml:space="preserve"> 53 </w:t>
      </w:r>
      <w:r w:rsidRPr="006941B7">
        <w:rPr>
          <w:rFonts w:ascii="Times New Roman" w:hAnsi="Times New Roman" w:hint="eastAsia"/>
          <w:color w:val="000000"/>
          <w:szCs w:val="28"/>
        </w:rPr>
        <w:t>об’єкти</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відповідну</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подальшого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забезпечення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ділянками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учасників</w:t>
      </w:r>
      <w:r w:rsidRPr="006941B7">
        <w:rPr>
          <w:rFonts w:ascii="Times New Roman" w:hAnsi="Times New Roman"/>
          <w:color w:val="000000"/>
          <w:szCs w:val="28"/>
        </w:rPr>
        <w:t xml:space="preserve"> </w:t>
      </w:r>
      <w:r w:rsidRPr="006941B7">
        <w:rPr>
          <w:rFonts w:ascii="Times New Roman" w:hAnsi="Times New Roman" w:hint="eastAsia"/>
          <w:color w:val="000000"/>
          <w:szCs w:val="28"/>
        </w:rPr>
        <w:t>бойових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дій</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Завершено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поновленню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технічної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документації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нормативної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грошової</w:t>
      </w:r>
      <w:r w:rsidRPr="006941B7">
        <w:rPr>
          <w:rFonts w:ascii="Times New Roman" w:hAnsi="Times New Roman"/>
          <w:color w:val="000000"/>
          <w:szCs w:val="28"/>
        </w:rPr>
        <w:t xml:space="preserve"> </w:t>
      </w:r>
      <w:r w:rsidRPr="006941B7">
        <w:rPr>
          <w:rFonts w:ascii="Times New Roman" w:hAnsi="Times New Roman" w:hint="eastAsia"/>
          <w:color w:val="000000"/>
          <w:szCs w:val="28"/>
        </w:rPr>
        <w:t>оцінки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пунктів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 xml:space="preserve">, </w:t>
      </w:r>
      <w:r w:rsidRPr="006941B7">
        <w:rPr>
          <w:rFonts w:ascii="Times New Roman" w:hAnsi="Times New Roman" w:hint="eastAsia"/>
          <w:color w:val="000000"/>
          <w:szCs w:val="28"/>
        </w:rPr>
        <w:t>яка</w:t>
      </w:r>
      <w:r w:rsidRPr="006941B7">
        <w:rPr>
          <w:rFonts w:ascii="Times New Roman" w:hAnsi="Times New Roman"/>
          <w:color w:val="000000"/>
          <w:szCs w:val="28"/>
        </w:rPr>
        <w:t xml:space="preserve"> </w:t>
      </w:r>
      <w:r w:rsidRPr="006941B7">
        <w:rPr>
          <w:rFonts w:ascii="Times New Roman" w:hAnsi="Times New Roman" w:hint="eastAsia"/>
          <w:color w:val="000000"/>
          <w:szCs w:val="28"/>
        </w:rPr>
        <w:t>почне</w:t>
      </w:r>
      <w:r w:rsidRPr="006941B7">
        <w:rPr>
          <w:rFonts w:ascii="Times New Roman" w:hAnsi="Times New Roman"/>
          <w:color w:val="000000"/>
          <w:szCs w:val="28"/>
        </w:rPr>
        <w:t xml:space="preserve"> </w:t>
      </w:r>
      <w:r w:rsidRPr="006941B7">
        <w:rPr>
          <w:rFonts w:ascii="Times New Roman" w:hAnsi="Times New Roman" w:hint="eastAsia"/>
          <w:color w:val="000000"/>
          <w:szCs w:val="28"/>
        </w:rPr>
        <w:t>діяти</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01.01.2026 </w:t>
      </w:r>
      <w:r w:rsidRPr="006941B7">
        <w:rPr>
          <w:rFonts w:ascii="Times New Roman" w:hAnsi="Times New Roman" w:hint="eastAsia"/>
          <w:color w:val="000000"/>
          <w:szCs w:val="28"/>
        </w:rPr>
        <w:t>року</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забезпечить</w:t>
      </w:r>
      <w:r w:rsidRPr="006941B7">
        <w:rPr>
          <w:rFonts w:ascii="Times New Roman" w:hAnsi="Times New Roman"/>
          <w:color w:val="000000"/>
          <w:szCs w:val="28"/>
        </w:rPr>
        <w:t xml:space="preserve"> </w:t>
      </w:r>
      <w:r w:rsidRPr="006941B7">
        <w:rPr>
          <w:rFonts w:ascii="Times New Roman" w:hAnsi="Times New Roman" w:hint="eastAsia"/>
          <w:color w:val="000000"/>
          <w:szCs w:val="28"/>
        </w:rPr>
        <w:t>правильність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визначенню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розміру</w:t>
      </w:r>
      <w:r w:rsidRPr="006941B7">
        <w:rPr>
          <w:rFonts w:ascii="Times New Roman" w:hAnsi="Times New Roman"/>
          <w:color w:val="000000"/>
          <w:szCs w:val="28"/>
        </w:rPr>
        <w:t xml:space="preserve"> </w:t>
      </w:r>
      <w:r w:rsidRPr="006941B7">
        <w:rPr>
          <w:rFonts w:ascii="Times New Roman" w:hAnsi="Times New Roman" w:hint="eastAsia"/>
          <w:color w:val="000000"/>
          <w:szCs w:val="28"/>
        </w:rPr>
        <w:t>податків</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плати</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ділянок</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роботу</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реалізації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прав</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громадян</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оформлення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часток</w:t>
      </w:r>
      <w:r w:rsidRPr="006941B7">
        <w:rPr>
          <w:rFonts w:ascii="Times New Roman" w:hAnsi="Times New Roman"/>
          <w:color w:val="000000"/>
          <w:szCs w:val="28"/>
        </w:rPr>
        <w:t xml:space="preserve"> (</w:t>
      </w:r>
      <w:r w:rsidRPr="006941B7">
        <w:rPr>
          <w:rFonts w:ascii="Times New Roman" w:hAnsi="Times New Roman" w:hint="eastAsia"/>
          <w:color w:val="000000"/>
          <w:szCs w:val="28"/>
        </w:rPr>
        <w:t>паї</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відповідно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прийнятого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рішення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надання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дозволу</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інвентаризацію</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часток</w:t>
      </w:r>
      <w:r w:rsidRPr="006941B7">
        <w:rPr>
          <w:rFonts w:ascii="Times New Roman" w:hAnsi="Times New Roman"/>
          <w:color w:val="000000"/>
          <w:szCs w:val="28"/>
        </w:rPr>
        <w:t xml:space="preserve"> (</w:t>
      </w:r>
      <w:r w:rsidRPr="006941B7">
        <w:rPr>
          <w:rFonts w:ascii="Times New Roman" w:hAnsi="Times New Roman" w:hint="eastAsia"/>
          <w:color w:val="000000"/>
          <w:szCs w:val="28"/>
        </w:rPr>
        <w:t>паїв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колишньої</w:t>
      </w:r>
      <w:r w:rsidRPr="006941B7">
        <w:rPr>
          <w:rFonts w:ascii="Times New Roman" w:hAnsi="Times New Roman"/>
          <w:color w:val="000000"/>
          <w:szCs w:val="28"/>
        </w:rPr>
        <w:t xml:space="preserve"> </w:t>
      </w:r>
      <w:r w:rsidRPr="006941B7">
        <w:rPr>
          <w:rFonts w:ascii="Times New Roman" w:hAnsi="Times New Roman" w:hint="eastAsia"/>
          <w:color w:val="000000"/>
          <w:szCs w:val="28"/>
        </w:rPr>
        <w:t>Дзвінківської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сільської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ради»</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заходи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оформлення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w:t>
      </w:r>
      <w:r w:rsidRPr="006941B7">
        <w:rPr>
          <w:rFonts w:ascii="Times New Roman" w:hAnsi="Times New Roman"/>
          <w:color w:val="000000"/>
          <w:szCs w:val="28"/>
        </w:rPr>
        <w:t xml:space="preserve"> </w:t>
      </w:r>
      <w:r w:rsidRPr="006941B7">
        <w:rPr>
          <w:rFonts w:ascii="Times New Roman" w:hAnsi="Times New Roman" w:hint="eastAsia"/>
          <w:color w:val="000000"/>
          <w:szCs w:val="28"/>
        </w:rPr>
        <w:t>рекреаційного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призначення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створення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гармонійного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простору</w:t>
      </w:r>
      <w:r w:rsidRPr="006941B7">
        <w:rPr>
          <w:rFonts w:ascii="Times New Roman" w:hAnsi="Times New Roman"/>
          <w:color w:val="000000"/>
          <w:szCs w:val="28"/>
        </w:rPr>
        <w:t xml:space="preserve"> </w:t>
      </w:r>
      <w:r w:rsidRPr="006941B7">
        <w:rPr>
          <w:rFonts w:ascii="Times New Roman" w:hAnsi="Times New Roman" w:hint="eastAsia"/>
          <w:color w:val="000000"/>
          <w:szCs w:val="28"/>
        </w:rPr>
        <w:t>для</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відпочинку</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збереження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природи</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lastRenderedPageBreak/>
        <w:t>Надано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один</w:t>
      </w:r>
      <w:r w:rsidRPr="006941B7">
        <w:rPr>
          <w:rFonts w:ascii="Times New Roman" w:hAnsi="Times New Roman"/>
          <w:color w:val="000000"/>
          <w:szCs w:val="28"/>
        </w:rPr>
        <w:t xml:space="preserve"> </w:t>
      </w:r>
      <w:r w:rsidRPr="006941B7">
        <w:rPr>
          <w:rFonts w:ascii="Times New Roman" w:hAnsi="Times New Roman" w:hint="eastAsia"/>
          <w:color w:val="000000"/>
          <w:szCs w:val="28"/>
        </w:rPr>
        <w:t>статус</w:t>
      </w:r>
      <w:r w:rsidRPr="006941B7">
        <w:rPr>
          <w:rFonts w:ascii="Times New Roman" w:hAnsi="Times New Roman"/>
          <w:color w:val="000000"/>
          <w:szCs w:val="28"/>
        </w:rPr>
        <w:t xml:space="preserve"> </w:t>
      </w:r>
      <w:r w:rsidRPr="006941B7">
        <w:rPr>
          <w:rFonts w:ascii="Times New Roman" w:hAnsi="Times New Roman" w:hint="eastAsia"/>
          <w:color w:val="000000"/>
          <w:szCs w:val="28"/>
        </w:rPr>
        <w:t>скверу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земельній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ділянці</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0,088 </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м</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Боярка</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надано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статус</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5,3964 </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с</w:t>
      </w:r>
      <w:r w:rsidRPr="006941B7">
        <w:rPr>
          <w:rFonts w:ascii="Times New Roman" w:hAnsi="Times New Roman"/>
          <w:color w:val="000000"/>
          <w:szCs w:val="28"/>
        </w:rPr>
        <w:t xml:space="preserve">. </w:t>
      </w:r>
      <w:r w:rsidRPr="006941B7">
        <w:rPr>
          <w:rFonts w:ascii="Times New Roman" w:hAnsi="Times New Roman" w:hint="eastAsia"/>
          <w:color w:val="000000"/>
          <w:szCs w:val="28"/>
        </w:rPr>
        <w:t>Малютянка</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координацію</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робіт</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метою</w:t>
      </w:r>
      <w:r w:rsidRPr="006941B7">
        <w:rPr>
          <w:rFonts w:ascii="Times New Roman" w:hAnsi="Times New Roman"/>
          <w:color w:val="000000"/>
          <w:szCs w:val="28"/>
        </w:rPr>
        <w:t xml:space="preserve"> </w:t>
      </w:r>
      <w:r w:rsidRPr="006941B7">
        <w:rPr>
          <w:rFonts w:ascii="Times New Roman" w:hAnsi="Times New Roman" w:hint="eastAsia"/>
          <w:color w:val="000000"/>
          <w:szCs w:val="28"/>
        </w:rPr>
        <w:t>залучення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проєкту</w:t>
      </w:r>
      <w:r w:rsidRPr="006941B7">
        <w:rPr>
          <w:rFonts w:ascii="Times New Roman" w:hAnsi="Times New Roman"/>
          <w:color w:val="000000"/>
          <w:szCs w:val="28"/>
        </w:rPr>
        <w:t xml:space="preserve"> </w:t>
      </w:r>
      <w:r w:rsidRPr="006941B7">
        <w:rPr>
          <w:rFonts w:ascii="Times New Roman" w:hAnsi="Times New Roman" w:hint="eastAsia"/>
          <w:color w:val="000000"/>
          <w:szCs w:val="28"/>
        </w:rPr>
        <w:t>«Активні</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 xml:space="preserve"> </w:t>
      </w:r>
      <w:r w:rsidRPr="006941B7">
        <w:rPr>
          <w:rFonts w:ascii="Times New Roman" w:hAnsi="Times New Roman" w:hint="eastAsia"/>
          <w:color w:val="000000"/>
          <w:szCs w:val="28"/>
        </w:rPr>
        <w:t>ім</w:t>
      </w:r>
      <w:r w:rsidRPr="006941B7">
        <w:rPr>
          <w:rFonts w:ascii="Times New Roman" w:hAnsi="Times New Roman"/>
          <w:color w:val="000000"/>
          <w:szCs w:val="28"/>
        </w:rPr>
        <w:t xml:space="preserve">. </w:t>
      </w:r>
      <w:r w:rsidRPr="006941B7">
        <w:rPr>
          <w:rFonts w:ascii="Times New Roman" w:hAnsi="Times New Roman" w:hint="eastAsia"/>
          <w:color w:val="000000"/>
          <w:szCs w:val="28"/>
        </w:rPr>
        <w:t>Т</w:t>
      </w:r>
      <w:r w:rsidRPr="006941B7">
        <w:rPr>
          <w:rFonts w:ascii="Times New Roman" w:hAnsi="Times New Roman"/>
          <w:color w:val="000000"/>
          <w:szCs w:val="28"/>
        </w:rPr>
        <w:t xml:space="preserve">. </w:t>
      </w:r>
      <w:r w:rsidRPr="006941B7">
        <w:rPr>
          <w:rFonts w:ascii="Times New Roman" w:hAnsi="Times New Roman" w:hint="eastAsia"/>
          <w:color w:val="000000"/>
          <w:szCs w:val="28"/>
        </w:rPr>
        <w:t>Шевченка</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м</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Боярка</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Завершено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інвентаризацію</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об’єкту</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господарства</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w:t>
      </w:r>
      <w:r w:rsidRPr="006941B7">
        <w:rPr>
          <w:rFonts w:ascii="Times New Roman" w:hAnsi="Times New Roman" w:hint="eastAsia"/>
          <w:color w:val="000000"/>
          <w:szCs w:val="28"/>
        </w:rPr>
        <w:t>пам’ятки</w:t>
      </w:r>
      <w:r w:rsidRPr="006941B7">
        <w:rPr>
          <w:rFonts w:ascii="Times New Roman" w:hAnsi="Times New Roman"/>
          <w:color w:val="000000"/>
          <w:szCs w:val="28"/>
        </w:rPr>
        <w:t xml:space="preserve"> </w:t>
      </w:r>
      <w:r w:rsidRPr="006941B7">
        <w:rPr>
          <w:rFonts w:ascii="Times New Roman" w:hAnsi="Times New Roman" w:hint="eastAsia"/>
          <w:color w:val="000000"/>
          <w:szCs w:val="28"/>
        </w:rPr>
        <w:t>садово</w:t>
      </w:r>
      <w:r w:rsidRPr="006941B7">
        <w:rPr>
          <w:rFonts w:ascii="Times New Roman" w:hAnsi="Times New Roman"/>
          <w:color w:val="000000"/>
          <w:szCs w:val="28"/>
        </w:rPr>
        <w:t>-</w:t>
      </w:r>
      <w:r w:rsidRPr="006941B7">
        <w:rPr>
          <w:rFonts w:ascii="Times New Roman" w:hAnsi="Times New Roman" w:hint="eastAsia"/>
          <w:color w:val="000000"/>
          <w:szCs w:val="28"/>
        </w:rPr>
        <w:t>паркового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мистецтва</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місцевого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значення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парку</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«Перемоги»</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5,1713</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За</w:t>
      </w:r>
      <w:r w:rsidRPr="006941B7">
        <w:rPr>
          <w:rFonts w:ascii="Times New Roman" w:hAnsi="Times New Roman"/>
          <w:color w:val="000000"/>
          <w:szCs w:val="28"/>
        </w:rPr>
        <w:t xml:space="preserve"> </w:t>
      </w:r>
      <w:r w:rsidRPr="006941B7">
        <w:rPr>
          <w:rFonts w:ascii="Times New Roman" w:hAnsi="Times New Roman" w:hint="eastAsia"/>
          <w:color w:val="000000"/>
          <w:szCs w:val="28"/>
        </w:rPr>
        <w:t>результатами</w:t>
      </w:r>
      <w:r w:rsidRPr="006941B7">
        <w:rPr>
          <w:rFonts w:ascii="Times New Roman" w:hAnsi="Times New Roman"/>
          <w:color w:val="000000"/>
          <w:szCs w:val="28"/>
        </w:rPr>
        <w:t xml:space="preserve"> </w:t>
      </w:r>
      <w:r w:rsidRPr="006941B7">
        <w:rPr>
          <w:rFonts w:ascii="Times New Roman" w:hAnsi="Times New Roman" w:hint="eastAsia"/>
          <w:color w:val="000000"/>
          <w:szCs w:val="28"/>
        </w:rPr>
        <w:t>інвентаризації</w:t>
      </w:r>
      <w:r w:rsidRPr="006941B7">
        <w:rPr>
          <w:rFonts w:ascii="Times New Roman" w:hAnsi="Times New Roman"/>
          <w:color w:val="000000"/>
          <w:szCs w:val="28"/>
        </w:rPr>
        <w:t xml:space="preserve"> </w:t>
      </w:r>
      <w:r w:rsidRPr="006941B7">
        <w:rPr>
          <w:rFonts w:ascii="Times New Roman" w:hAnsi="Times New Roman" w:hint="eastAsia"/>
          <w:color w:val="000000"/>
          <w:szCs w:val="28"/>
        </w:rPr>
        <w:t>обліковано</w:t>
      </w:r>
      <w:r w:rsidRPr="006941B7">
        <w:rPr>
          <w:rFonts w:ascii="Times New Roman" w:hAnsi="Times New Roman"/>
          <w:color w:val="000000"/>
          <w:szCs w:val="28"/>
        </w:rPr>
        <w:t xml:space="preserve"> 907 </w:t>
      </w:r>
      <w:r w:rsidRPr="006941B7">
        <w:rPr>
          <w:rFonts w:ascii="Times New Roman" w:hAnsi="Times New Roman" w:hint="eastAsia"/>
          <w:color w:val="000000"/>
          <w:szCs w:val="28"/>
        </w:rPr>
        <w:t>дерев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площі</w:t>
      </w:r>
      <w:r w:rsidRPr="006941B7">
        <w:rPr>
          <w:rFonts w:ascii="Times New Roman" w:hAnsi="Times New Roman"/>
          <w:color w:val="000000"/>
          <w:szCs w:val="28"/>
        </w:rPr>
        <w:t xml:space="preserve"> 4,7688</w:t>
      </w:r>
      <w:r w:rsidR="00510CAE">
        <w:rPr>
          <w:rFonts w:ascii="Times New Roman" w:hAnsi="Times New Roman"/>
          <w:color w:val="000000"/>
          <w:szCs w:val="28"/>
        </w:rPr>
        <w:t xml:space="preserve"> </w:t>
      </w:r>
      <w:r w:rsidRPr="006941B7">
        <w:rPr>
          <w:rFonts w:ascii="Times New Roman" w:hAnsi="Times New Roman" w:hint="eastAsia"/>
          <w:color w:val="000000"/>
          <w:szCs w:val="28"/>
        </w:rPr>
        <w:t>га</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кущів</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загальною</w:t>
      </w:r>
      <w:r w:rsidRPr="006941B7">
        <w:rPr>
          <w:rFonts w:ascii="Times New Roman" w:hAnsi="Times New Roman"/>
          <w:color w:val="000000"/>
          <w:szCs w:val="28"/>
        </w:rPr>
        <w:t xml:space="preserve"> </w:t>
      </w:r>
      <w:r w:rsidRPr="006941B7">
        <w:rPr>
          <w:rFonts w:ascii="Times New Roman" w:hAnsi="Times New Roman" w:hint="eastAsia"/>
          <w:color w:val="000000"/>
          <w:szCs w:val="28"/>
        </w:rPr>
        <w:t>площею</w:t>
      </w:r>
      <w:r w:rsidRPr="006941B7">
        <w:rPr>
          <w:rFonts w:ascii="Times New Roman" w:hAnsi="Times New Roman"/>
          <w:color w:val="000000"/>
          <w:szCs w:val="28"/>
        </w:rPr>
        <w:t xml:space="preserve"> 0,0063</w:t>
      </w:r>
      <w:r w:rsidR="00510CAE">
        <w:rPr>
          <w:rFonts w:ascii="Times New Roman" w:hAnsi="Times New Roman"/>
          <w:color w:val="000000"/>
          <w:szCs w:val="28"/>
        </w:rPr>
        <w:t xml:space="preserve"> </w:t>
      </w:r>
      <w:r w:rsidRPr="006941B7">
        <w:rPr>
          <w:rFonts w:ascii="Times New Roman" w:hAnsi="Times New Roman" w:hint="eastAsia"/>
          <w:color w:val="000000"/>
          <w:szCs w:val="28"/>
        </w:rPr>
        <w:t>га</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постійній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основі</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проводилися</w:t>
      </w:r>
      <w:r w:rsidRPr="006941B7">
        <w:rPr>
          <w:rFonts w:ascii="Times New Roman" w:hAnsi="Times New Roman"/>
          <w:color w:val="000000"/>
          <w:szCs w:val="28"/>
        </w:rPr>
        <w:t xml:space="preserve"> </w:t>
      </w:r>
      <w:r w:rsidRPr="006941B7">
        <w:rPr>
          <w:rFonts w:ascii="Times New Roman" w:hAnsi="Times New Roman" w:hint="eastAsia"/>
          <w:color w:val="000000"/>
          <w:szCs w:val="28"/>
        </w:rPr>
        <w:t>роботи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озеленення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територій</w:t>
      </w:r>
      <w:r w:rsidRPr="006941B7">
        <w:rPr>
          <w:rFonts w:ascii="Times New Roman" w:hAnsi="Times New Roman"/>
          <w:color w:val="000000"/>
          <w:szCs w:val="28"/>
        </w:rPr>
        <w:t xml:space="preserve">. </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насаджень</w:t>
      </w:r>
      <w:r w:rsidRPr="006941B7">
        <w:rPr>
          <w:rFonts w:ascii="Times New Roman" w:hAnsi="Times New Roman"/>
          <w:color w:val="000000"/>
          <w:szCs w:val="28"/>
        </w:rPr>
        <w:t xml:space="preserve"> </w:t>
      </w:r>
      <w:r w:rsidRPr="006941B7">
        <w:rPr>
          <w:rFonts w:ascii="Times New Roman" w:hAnsi="Times New Roman" w:hint="eastAsia"/>
          <w:color w:val="000000"/>
          <w:szCs w:val="28"/>
        </w:rPr>
        <w:t>комісійно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w:t>
      </w:r>
      <w:r w:rsidRPr="006941B7">
        <w:rPr>
          <w:rFonts w:ascii="Times New Roman" w:hAnsi="Times New Roman"/>
          <w:color w:val="000000"/>
          <w:szCs w:val="28"/>
        </w:rPr>
        <w:t xml:space="preserve"> </w:t>
      </w:r>
      <w:r w:rsidRPr="006941B7">
        <w:rPr>
          <w:rFonts w:ascii="Times New Roman" w:hAnsi="Times New Roman" w:hint="eastAsia"/>
          <w:color w:val="000000"/>
          <w:szCs w:val="28"/>
        </w:rPr>
        <w:t>виїздом</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місцевість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складено</w:t>
      </w:r>
      <w:r w:rsidRPr="006941B7">
        <w:rPr>
          <w:rFonts w:ascii="Times New Roman" w:hAnsi="Times New Roman"/>
          <w:color w:val="000000"/>
          <w:szCs w:val="28"/>
        </w:rPr>
        <w:t xml:space="preserve"> 16 </w:t>
      </w:r>
      <w:r w:rsidRPr="006941B7">
        <w:rPr>
          <w:rFonts w:ascii="Times New Roman" w:hAnsi="Times New Roman" w:hint="eastAsia"/>
          <w:color w:val="000000"/>
          <w:szCs w:val="28"/>
        </w:rPr>
        <w:t>Актів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насаджень</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підлягають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видаленню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зелених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насаджень</w:t>
      </w:r>
      <w:r w:rsidRPr="006941B7">
        <w:rPr>
          <w:rFonts w:ascii="Times New Roman" w:hAnsi="Times New Roman"/>
          <w:color w:val="000000"/>
          <w:szCs w:val="28"/>
        </w:rPr>
        <w:t xml:space="preserve">, </w:t>
      </w:r>
      <w:r w:rsidRPr="006941B7">
        <w:rPr>
          <w:rFonts w:ascii="Times New Roman" w:hAnsi="Times New Roman" w:hint="eastAsia"/>
          <w:color w:val="000000"/>
          <w:szCs w:val="28"/>
        </w:rPr>
        <w:t>що</w:t>
      </w:r>
      <w:r w:rsidRPr="006941B7">
        <w:rPr>
          <w:rFonts w:ascii="Times New Roman" w:hAnsi="Times New Roman"/>
          <w:color w:val="000000"/>
          <w:szCs w:val="28"/>
        </w:rPr>
        <w:t xml:space="preserve"> </w:t>
      </w:r>
      <w:r w:rsidRPr="006941B7">
        <w:rPr>
          <w:rFonts w:ascii="Times New Roman" w:hAnsi="Times New Roman" w:hint="eastAsia"/>
          <w:color w:val="000000"/>
          <w:szCs w:val="28"/>
        </w:rPr>
        <w:t>підлягають</w:t>
      </w:r>
      <w:r w:rsidRPr="006941B7">
        <w:rPr>
          <w:rFonts w:ascii="Times New Roman" w:hAnsi="Times New Roman"/>
          <w:color w:val="000000"/>
          <w:szCs w:val="28"/>
        </w:rPr>
        <w:t xml:space="preserve"> </w:t>
      </w:r>
      <w:r w:rsidRPr="006941B7">
        <w:rPr>
          <w:rFonts w:ascii="Times New Roman" w:hAnsi="Times New Roman" w:hint="eastAsia"/>
          <w:color w:val="000000"/>
          <w:szCs w:val="28"/>
        </w:rPr>
        <w:t>санітарній</w:t>
      </w:r>
      <w:r w:rsidRPr="006941B7">
        <w:rPr>
          <w:rFonts w:ascii="Times New Roman" w:hAnsi="Times New Roman"/>
          <w:color w:val="000000"/>
          <w:szCs w:val="28"/>
        </w:rPr>
        <w:t xml:space="preserve"> </w:t>
      </w:r>
      <w:r w:rsidRPr="006941B7">
        <w:rPr>
          <w:rFonts w:ascii="Times New Roman" w:hAnsi="Times New Roman" w:hint="eastAsia"/>
          <w:color w:val="000000"/>
          <w:szCs w:val="28"/>
        </w:rPr>
        <w:t>очистці</w:t>
      </w:r>
      <w:r w:rsidRPr="006941B7">
        <w:rPr>
          <w:rFonts w:ascii="Times New Roman" w:hAnsi="Times New Roman"/>
          <w:color w:val="000000"/>
          <w:szCs w:val="28"/>
        </w:rPr>
        <w:t xml:space="preserve">, </w:t>
      </w:r>
      <w:r w:rsidRPr="006941B7">
        <w:rPr>
          <w:rFonts w:ascii="Times New Roman" w:hAnsi="Times New Roman" w:hint="eastAsia"/>
          <w:color w:val="000000"/>
          <w:szCs w:val="28"/>
        </w:rPr>
        <w:t>коронуванню</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обрізці</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Загальна</w:t>
      </w:r>
      <w:r w:rsidRPr="006941B7">
        <w:rPr>
          <w:rFonts w:ascii="Times New Roman" w:hAnsi="Times New Roman"/>
          <w:color w:val="000000"/>
          <w:szCs w:val="28"/>
        </w:rPr>
        <w:t xml:space="preserve"> </w:t>
      </w:r>
      <w:r w:rsidRPr="006941B7">
        <w:rPr>
          <w:rFonts w:ascii="Times New Roman" w:hAnsi="Times New Roman" w:hint="eastAsia"/>
          <w:color w:val="000000"/>
          <w:szCs w:val="28"/>
        </w:rPr>
        <w:t>кількість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дерев</w:t>
      </w:r>
      <w:r w:rsidRPr="006941B7">
        <w:rPr>
          <w:rFonts w:ascii="Times New Roman" w:hAnsi="Times New Roman"/>
          <w:color w:val="000000"/>
          <w:szCs w:val="28"/>
        </w:rPr>
        <w:t xml:space="preserve"> </w:t>
      </w:r>
      <w:r w:rsidRPr="006941B7">
        <w:rPr>
          <w:rFonts w:ascii="Times New Roman" w:hAnsi="Times New Roman" w:hint="eastAsia"/>
          <w:color w:val="000000"/>
          <w:szCs w:val="28"/>
        </w:rPr>
        <w:t>яких</w:t>
      </w:r>
      <w:r w:rsidRPr="006941B7">
        <w:rPr>
          <w:rFonts w:ascii="Times New Roman" w:hAnsi="Times New Roman"/>
          <w:color w:val="000000"/>
          <w:szCs w:val="28"/>
        </w:rPr>
        <w:t xml:space="preserve"> </w:t>
      </w:r>
      <w:r w:rsidRPr="006941B7">
        <w:rPr>
          <w:rFonts w:ascii="Times New Roman" w:hAnsi="Times New Roman" w:hint="eastAsia"/>
          <w:color w:val="000000"/>
          <w:szCs w:val="28"/>
        </w:rPr>
        <w:t>обстежено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w:t>
      </w:r>
      <w:r w:rsidRPr="006941B7">
        <w:rPr>
          <w:rFonts w:ascii="Times New Roman" w:hAnsi="Times New Roman"/>
          <w:color w:val="000000"/>
          <w:szCs w:val="28"/>
        </w:rPr>
        <w:t xml:space="preserve"> </w:t>
      </w:r>
      <w:r w:rsidRPr="006941B7">
        <w:rPr>
          <w:rFonts w:ascii="Times New Roman" w:hAnsi="Times New Roman" w:hint="eastAsia"/>
          <w:color w:val="000000"/>
          <w:szCs w:val="28"/>
        </w:rPr>
        <w:t>вказаний</w:t>
      </w:r>
      <w:r w:rsidRPr="006941B7">
        <w:rPr>
          <w:rFonts w:ascii="Times New Roman" w:hAnsi="Times New Roman"/>
          <w:color w:val="000000"/>
          <w:szCs w:val="28"/>
        </w:rPr>
        <w:t xml:space="preserve"> </w:t>
      </w:r>
      <w:r w:rsidRPr="006941B7">
        <w:rPr>
          <w:rFonts w:ascii="Times New Roman" w:hAnsi="Times New Roman" w:hint="eastAsia"/>
          <w:color w:val="000000"/>
          <w:szCs w:val="28"/>
        </w:rPr>
        <w:t>період</w:t>
      </w:r>
      <w:r w:rsidRPr="006941B7">
        <w:rPr>
          <w:rFonts w:ascii="Times New Roman" w:hAnsi="Times New Roman"/>
          <w:color w:val="000000"/>
          <w:szCs w:val="28"/>
        </w:rPr>
        <w:t xml:space="preserve"> </w:t>
      </w:r>
      <w:r w:rsidRPr="006941B7">
        <w:rPr>
          <w:rFonts w:ascii="Times New Roman" w:hAnsi="Times New Roman" w:hint="eastAsia"/>
          <w:color w:val="000000"/>
          <w:szCs w:val="28"/>
        </w:rPr>
        <w:t>–</w:t>
      </w:r>
      <w:r w:rsidRPr="006941B7">
        <w:rPr>
          <w:rFonts w:ascii="Times New Roman" w:hAnsi="Times New Roman"/>
          <w:color w:val="000000"/>
          <w:szCs w:val="28"/>
        </w:rPr>
        <w:t xml:space="preserve"> 365 </w:t>
      </w:r>
      <w:r w:rsidRPr="006941B7">
        <w:rPr>
          <w:rFonts w:ascii="Times New Roman" w:hAnsi="Times New Roman" w:hint="eastAsia"/>
          <w:color w:val="000000"/>
          <w:szCs w:val="28"/>
        </w:rPr>
        <w:t>дерев</w:t>
      </w:r>
      <w:r w:rsidRPr="006941B7">
        <w:rPr>
          <w:rFonts w:ascii="Times New Roman" w:hAnsi="Times New Roman"/>
          <w:color w:val="000000"/>
          <w:szCs w:val="28"/>
        </w:rPr>
        <w:t>.</w:t>
      </w:r>
    </w:p>
    <w:p w:rsidR="006941B7" w:rsidRPr="006941B7"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color w:val="000000"/>
          <w:szCs w:val="28"/>
        </w:rPr>
        <w:tab/>
      </w:r>
      <w:r w:rsidRPr="006941B7">
        <w:rPr>
          <w:rFonts w:ascii="Times New Roman" w:hAnsi="Times New Roman" w:hint="eastAsia"/>
          <w:color w:val="000000"/>
          <w:szCs w:val="28"/>
        </w:rPr>
        <w:t>Проведено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огляд</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місць</w:t>
      </w:r>
      <w:r w:rsidRPr="006941B7">
        <w:rPr>
          <w:rFonts w:ascii="Times New Roman" w:hAnsi="Times New Roman"/>
          <w:color w:val="000000"/>
          <w:szCs w:val="28"/>
        </w:rPr>
        <w:t xml:space="preserve"> </w:t>
      </w:r>
      <w:r w:rsidRPr="006941B7">
        <w:rPr>
          <w:rFonts w:ascii="Times New Roman" w:hAnsi="Times New Roman" w:hint="eastAsia"/>
          <w:color w:val="000000"/>
          <w:szCs w:val="28"/>
        </w:rPr>
        <w:t>виявлення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відходів</w:t>
      </w:r>
      <w:r w:rsidRPr="006941B7">
        <w:rPr>
          <w:rFonts w:ascii="Times New Roman" w:hAnsi="Times New Roman"/>
          <w:color w:val="000000"/>
          <w:szCs w:val="28"/>
        </w:rPr>
        <w:t xml:space="preserve">, </w:t>
      </w:r>
      <w:r w:rsidRPr="006941B7">
        <w:rPr>
          <w:rFonts w:ascii="Times New Roman" w:hAnsi="Times New Roman" w:hint="eastAsia"/>
          <w:color w:val="000000"/>
          <w:szCs w:val="28"/>
        </w:rPr>
        <w:t>власників</w:t>
      </w:r>
      <w:r w:rsidRPr="006941B7">
        <w:rPr>
          <w:rFonts w:ascii="Times New Roman" w:hAnsi="Times New Roman"/>
          <w:color w:val="000000"/>
          <w:szCs w:val="28"/>
        </w:rPr>
        <w:t xml:space="preserve"> </w:t>
      </w:r>
      <w:r w:rsidRPr="006941B7">
        <w:rPr>
          <w:rFonts w:ascii="Times New Roman" w:hAnsi="Times New Roman" w:hint="eastAsia"/>
          <w:color w:val="000000"/>
          <w:szCs w:val="28"/>
        </w:rPr>
        <w:t>яких</w:t>
      </w:r>
      <w:r w:rsidRPr="006941B7">
        <w:rPr>
          <w:rFonts w:ascii="Times New Roman" w:hAnsi="Times New Roman"/>
          <w:color w:val="000000"/>
          <w:szCs w:val="28"/>
        </w:rPr>
        <w:t xml:space="preserve"> </w:t>
      </w:r>
      <w:r w:rsidRPr="006941B7">
        <w:rPr>
          <w:rFonts w:ascii="Times New Roman" w:hAnsi="Times New Roman" w:hint="eastAsia"/>
          <w:color w:val="000000"/>
          <w:szCs w:val="28"/>
        </w:rPr>
        <w:t>не</w:t>
      </w:r>
      <w:r w:rsidRPr="006941B7">
        <w:rPr>
          <w:rFonts w:ascii="Times New Roman" w:hAnsi="Times New Roman"/>
          <w:color w:val="000000"/>
          <w:szCs w:val="28"/>
        </w:rPr>
        <w:t xml:space="preserve"> </w:t>
      </w:r>
      <w:r w:rsidRPr="006941B7">
        <w:rPr>
          <w:rFonts w:ascii="Times New Roman" w:hAnsi="Times New Roman" w:hint="eastAsia"/>
          <w:color w:val="000000"/>
          <w:szCs w:val="28"/>
        </w:rPr>
        <w:t>встановлено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складено</w:t>
      </w:r>
      <w:r w:rsidRPr="006941B7">
        <w:rPr>
          <w:rFonts w:ascii="Times New Roman" w:hAnsi="Times New Roman"/>
          <w:color w:val="000000"/>
          <w:szCs w:val="28"/>
        </w:rPr>
        <w:t xml:space="preserve"> 4 </w:t>
      </w:r>
      <w:r w:rsidRPr="006941B7">
        <w:rPr>
          <w:rFonts w:ascii="Times New Roman" w:hAnsi="Times New Roman" w:hint="eastAsia"/>
          <w:color w:val="000000"/>
          <w:szCs w:val="28"/>
        </w:rPr>
        <w:t>Акти</w:t>
      </w:r>
      <w:r w:rsidRPr="006941B7">
        <w:rPr>
          <w:rFonts w:ascii="Times New Roman" w:hAnsi="Times New Roman"/>
          <w:color w:val="000000"/>
          <w:szCs w:val="28"/>
        </w:rPr>
        <w:t xml:space="preserve">, </w:t>
      </w:r>
      <w:r w:rsidRPr="006941B7">
        <w:rPr>
          <w:rFonts w:ascii="Times New Roman" w:hAnsi="Times New Roman" w:hint="eastAsia"/>
          <w:color w:val="000000"/>
          <w:szCs w:val="28"/>
        </w:rPr>
        <w:t>загальний</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об’єм</w:t>
      </w:r>
      <w:r w:rsidRPr="006941B7">
        <w:rPr>
          <w:rFonts w:ascii="Times New Roman" w:hAnsi="Times New Roman"/>
          <w:color w:val="000000"/>
          <w:szCs w:val="28"/>
        </w:rPr>
        <w:t xml:space="preserve"> </w:t>
      </w:r>
      <w:r w:rsidRPr="006941B7">
        <w:rPr>
          <w:rFonts w:ascii="Times New Roman" w:hAnsi="Times New Roman" w:hint="eastAsia"/>
          <w:color w:val="000000"/>
          <w:szCs w:val="28"/>
        </w:rPr>
        <w:t>побутових</w:t>
      </w:r>
      <w:r w:rsidRPr="006941B7">
        <w:rPr>
          <w:rFonts w:ascii="Times New Roman" w:hAnsi="Times New Roman"/>
          <w:color w:val="000000"/>
          <w:szCs w:val="28"/>
        </w:rPr>
        <w:t xml:space="preserve"> </w:t>
      </w:r>
      <w:r w:rsidRPr="006941B7">
        <w:rPr>
          <w:rFonts w:ascii="Times New Roman" w:hAnsi="Times New Roman" w:hint="eastAsia"/>
          <w:color w:val="000000"/>
          <w:szCs w:val="28"/>
        </w:rPr>
        <w:t>відходів</w:t>
      </w:r>
      <w:r w:rsidRPr="006941B7">
        <w:rPr>
          <w:rFonts w:ascii="Times New Roman" w:hAnsi="Times New Roman"/>
          <w:color w:val="000000"/>
          <w:szCs w:val="28"/>
        </w:rPr>
        <w:t xml:space="preserve"> 55,2 </w:t>
      </w:r>
      <w:r w:rsidRPr="006941B7">
        <w:rPr>
          <w:rFonts w:ascii="Times New Roman" w:hAnsi="Times New Roman" w:hint="eastAsia"/>
          <w:color w:val="000000"/>
          <w:szCs w:val="28"/>
        </w:rPr>
        <w:t>м</w:t>
      </w:r>
      <w:r w:rsidRPr="006941B7">
        <w:rPr>
          <w:rFonts w:ascii="Times New Roman" w:hAnsi="Times New Roman"/>
          <w:color w:val="000000"/>
          <w:szCs w:val="28"/>
        </w:rPr>
        <w:t xml:space="preserve">3  </w:t>
      </w:r>
      <w:r w:rsidRPr="006941B7">
        <w:rPr>
          <w:rFonts w:ascii="Times New Roman" w:hAnsi="Times New Roman" w:hint="eastAsia"/>
          <w:color w:val="000000"/>
          <w:szCs w:val="28"/>
        </w:rPr>
        <w:t>та</w:t>
      </w:r>
      <w:r w:rsidRPr="006941B7">
        <w:rPr>
          <w:rFonts w:ascii="Times New Roman" w:hAnsi="Times New Roman"/>
          <w:color w:val="000000"/>
          <w:szCs w:val="28"/>
        </w:rPr>
        <w:t xml:space="preserve"> </w:t>
      </w:r>
      <w:r w:rsidRPr="006941B7">
        <w:rPr>
          <w:rFonts w:ascii="Times New Roman" w:hAnsi="Times New Roman" w:hint="eastAsia"/>
          <w:color w:val="000000"/>
          <w:szCs w:val="28"/>
        </w:rPr>
        <w:t>вжито</w:t>
      </w:r>
      <w:r w:rsidRPr="006941B7">
        <w:rPr>
          <w:rFonts w:ascii="Times New Roman" w:hAnsi="Times New Roman"/>
          <w:color w:val="000000"/>
          <w:szCs w:val="28"/>
        </w:rPr>
        <w:t xml:space="preserve"> </w:t>
      </w:r>
      <w:r w:rsidRPr="006941B7">
        <w:rPr>
          <w:rFonts w:ascii="Times New Roman" w:hAnsi="Times New Roman" w:hint="eastAsia"/>
          <w:color w:val="000000"/>
          <w:szCs w:val="28"/>
        </w:rPr>
        <w:t>заходи</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їх</w:t>
      </w:r>
      <w:r w:rsidRPr="006941B7">
        <w:rPr>
          <w:rFonts w:ascii="Times New Roman" w:hAnsi="Times New Roman"/>
          <w:color w:val="000000"/>
          <w:szCs w:val="28"/>
        </w:rPr>
        <w:t xml:space="preserve"> </w:t>
      </w:r>
      <w:r w:rsidRPr="006941B7">
        <w:rPr>
          <w:rFonts w:ascii="Times New Roman" w:hAnsi="Times New Roman" w:hint="eastAsia"/>
          <w:color w:val="000000"/>
          <w:szCs w:val="28"/>
        </w:rPr>
        <w:t>ліквідації</w:t>
      </w:r>
      <w:r w:rsidRPr="006941B7">
        <w:rPr>
          <w:rFonts w:ascii="Times New Roman" w:hAnsi="Times New Roman"/>
          <w:color w:val="000000"/>
          <w:szCs w:val="28"/>
        </w:rPr>
        <w:t xml:space="preserve">.   </w:t>
      </w:r>
    </w:p>
    <w:p w:rsidR="00307770"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hint="eastAsia"/>
          <w:color w:val="000000"/>
          <w:szCs w:val="28"/>
        </w:rPr>
        <w:t>Подано</w:t>
      </w:r>
      <w:r w:rsidRPr="006941B7">
        <w:rPr>
          <w:rFonts w:ascii="Times New Roman" w:hAnsi="Times New Roman"/>
          <w:color w:val="000000"/>
          <w:szCs w:val="28"/>
        </w:rPr>
        <w:t xml:space="preserve"> </w:t>
      </w:r>
      <w:r w:rsidRPr="006941B7">
        <w:rPr>
          <w:rFonts w:ascii="Times New Roman" w:hAnsi="Times New Roman" w:hint="eastAsia"/>
          <w:color w:val="000000"/>
          <w:szCs w:val="28"/>
        </w:rPr>
        <w:t>звітність</w:t>
      </w:r>
      <w:r w:rsidRPr="006941B7">
        <w:rPr>
          <w:rFonts w:ascii="Times New Roman" w:hAnsi="Times New Roman"/>
          <w:color w:val="000000"/>
          <w:szCs w:val="28"/>
        </w:rPr>
        <w:t xml:space="preserve"> </w:t>
      </w:r>
      <w:r w:rsidRPr="006941B7">
        <w:rPr>
          <w:rFonts w:ascii="Times New Roman" w:hAnsi="Times New Roman" w:hint="eastAsia"/>
          <w:color w:val="000000"/>
          <w:szCs w:val="28"/>
        </w:rPr>
        <w:t>до</w:t>
      </w:r>
      <w:r w:rsidRPr="006941B7">
        <w:rPr>
          <w:rFonts w:ascii="Times New Roman" w:hAnsi="Times New Roman"/>
          <w:color w:val="000000"/>
          <w:szCs w:val="28"/>
        </w:rPr>
        <w:t xml:space="preserve"> </w:t>
      </w:r>
      <w:r w:rsidRPr="006941B7">
        <w:rPr>
          <w:rFonts w:ascii="Times New Roman" w:hAnsi="Times New Roman" w:hint="eastAsia"/>
          <w:color w:val="000000"/>
          <w:szCs w:val="28"/>
        </w:rPr>
        <w:t>Басейнового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управління</w:t>
      </w:r>
      <w:r w:rsidRPr="006941B7">
        <w:rPr>
          <w:rFonts w:ascii="Times New Roman" w:hAnsi="Times New Roman"/>
          <w:color w:val="000000"/>
          <w:szCs w:val="28"/>
        </w:rPr>
        <w:t xml:space="preserve"> </w:t>
      </w:r>
      <w:r w:rsidRPr="006941B7">
        <w:rPr>
          <w:rFonts w:ascii="Times New Roman" w:hAnsi="Times New Roman" w:hint="eastAsia"/>
          <w:color w:val="000000"/>
          <w:szCs w:val="28"/>
        </w:rPr>
        <w:t>водних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ресурсів</w:t>
      </w:r>
      <w:r w:rsidRPr="006941B7">
        <w:rPr>
          <w:rFonts w:ascii="Times New Roman" w:hAnsi="Times New Roman"/>
          <w:color w:val="000000"/>
          <w:szCs w:val="28"/>
        </w:rPr>
        <w:t xml:space="preserve"> </w:t>
      </w:r>
      <w:r w:rsidRPr="006941B7">
        <w:rPr>
          <w:rFonts w:ascii="Times New Roman" w:hAnsi="Times New Roman" w:hint="eastAsia"/>
          <w:color w:val="000000"/>
          <w:szCs w:val="28"/>
        </w:rPr>
        <w:t>середнього</w:t>
      </w:r>
      <w:r w:rsidRPr="006941B7">
        <w:rPr>
          <w:rFonts w:ascii="Times New Roman" w:hAnsi="Times New Roman"/>
          <w:color w:val="000000"/>
          <w:szCs w:val="28"/>
        </w:rPr>
        <w:t xml:space="preserve"> </w:t>
      </w:r>
      <w:r w:rsidRPr="006941B7">
        <w:rPr>
          <w:rFonts w:ascii="Times New Roman" w:hAnsi="Times New Roman" w:hint="eastAsia"/>
          <w:color w:val="000000"/>
          <w:szCs w:val="28"/>
        </w:rPr>
        <w:t>Дніпра</w:t>
      </w:r>
      <w:r w:rsidRPr="006941B7">
        <w:rPr>
          <w:rFonts w:ascii="Times New Roman" w:hAnsi="Times New Roman"/>
          <w:color w:val="000000"/>
          <w:szCs w:val="28"/>
        </w:rPr>
        <w:t xml:space="preserve"> </w:t>
      </w:r>
      <w:r w:rsidRPr="006941B7">
        <w:rPr>
          <w:rFonts w:ascii="Times New Roman" w:hAnsi="Times New Roman" w:hint="eastAsia"/>
          <w:color w:val="000000"/>
          <w:szCs w:val="28"/>
        </w:rPr>
        <w:t>про</w:t>
      </w:r>
      <w:r w:rsidRPr="006941B7">
        <w:rPr>
          <w:rFonts w:ascii="Times New Roman" w:hAnsi="Times New Roman"/>
          <w:color w:val="000000"/>
          <w:szCs w:val="28"/>
        </w:rPr>
        <w:t xml:space="preserve"> </w:t>
      </w:r>
      <w:r w:rsidRPr="006941B7">
        <w:rPr>
          <w:rFonts w:ascii="Times New Roman" w:hAnsi="Times New Roman" w:hint="eastAsia"/>
          <w:color w:val="000000"/>
          <w:szCs w:val="28"/>
        </w:rPr>
        <w:t>орендовані</w:t>
      </w:r>
      <w:r w:rsidRPr="006941B7">
        <w:rPr>
          <w:rFonts w:ascii="Times New Roman" w:hAnsi="Times New Roman"/>
          <w:color w:val="000000"/>
          <w:szCs w:val="28"/>
        </w:rPr>
        <w:t xml:space="preserve"> </w:t>
      </w:r>
      <w:r w:rsidRPr="006941B7">
        <w:rPr>
          <w:rFonts w:ascii="Times New Roman" w:hAnsi="Times New Roman" w:hint="eastAsia"/>
          <w:color w:val="000000"/>
          <w:szCs w:val="28"/>
        </w:rPr>
        <w:t>водні</w:t>
      </w:r>
      <w:r w:rsidRPr="006941B7">
        <w:rPr>
          <w:rFonts w:ascii="Times New Roman" w:hAnsi="Times New Roman"/>
          <w:color w:val="000000"/>
          <w:szCs w:val="28"/>
        </w:rPr>
        <w:t xml:space="preserve"> </w:t>
      </w:r>
      <w:r w:rsidRPr="006941B7">
        <w:rPr>
          <w:rFonts w:ascii="Times New Roman" w:hAnsi="Times New Roman" w:hint="eastAsia"/>
          <w:color w:val="000000"/>
          <w:szCs w:val="28"/>
        </w:rPr>
        <w:t>об’єкти</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межах</w:t>
      </w:r>
      <w:r w:rsidRPr="006941B7">
        <w:rPr>
          <w:rFonts w:ascii="Times New Roman" w:hAnsi="Times New Roman"/>
          <w:color w:val="000000"/>
          <w:szCs w:val="28"/>
        </w:rPr>
        <w:t xml:space="preserve"> </w:t>
      </w:r>
      <w:r w:rsidRPr="006941B7">
        <w:rPr>
          <w:rFonts w:ascii="Times New Roman" w:hAnsi="Times New Roman" w:hint="eastAsia"/>
          <w:color w:val="000000"/>
          <w:szCs w:val="28"/>
        </w:rPr>
        <w:t>Боярської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міської</w:t>
      </w:r>
      <w:r w:rsidRPr="006941B7">
        <w:rPr>
          <w:rFonts w:ascii="Times New Roman" w:hAnsi="Times New Roman"/>
          <w:color w:val="000000"/>
          <w:szCs w:val="28"/>
        </w:rPr>
        <w:t xml:space="preserve"> </w:t>
      </w:r>
      <w:r w:rsidRPr="006941B7">
        <w:rPr>
          <w:rFonts w:ascii="Times New Roman" w:hAnsi="Times New Roman" w:hint="eastAsia"/>
          <w:color w:val="000000"/>
          <w:szCs w:val="28"/>
        </w:rPr>
        <w:t>територіальної</w:t>
      </w:r>
      <w:r w:rsidRPr="006941B7">
        <w:rPr>
          <w:rFonts w:ascii="Times New Roman" w:hAnsi="Times New Roman"/>
          <w:color w:val="000000"/>
          <w:szCs w:val="28"/>
        </w:rPr>
        <w:t xml:space="preserve"> </w:t>
      </w:r>
      <w:r w:rsidRPr="006941B7">
        <w:rPr>
          <w:rFonts w:ascii="Times New Roman" w:hAnsi="Times New Roman" w:hint="eastAsia"/>
          <w:color w:val="000000"/>
          <w:szCs w:val="28"/>
        </w:rPr>
        <w:t>громади</w:t>
      </w:r>
      <w:r w:rsidRPr="006941B7">
        <w:rPr>
          <w:rFonts w:ascii="Times New Roman" w:hAnsi="Times New Roman"/>
          <w:color w:val="000000"/>
          <w:szCs w:val="28"/>
        </w:rPr>
        <w:t>.</w:t>
      </w:r>
      <w:r w:rsidR="00307770">
        <w:rPr>
          <w:rFonts w:ascii="Times New Roman" w:hAnsi="Times New Roman"/>
          <w:color w:val="000000"/>
          <w:szCs w:val="28"/>
        </w:rPr>
        <w:t xml:space="preserve"> </w:t>
      </w:r>
    </w:p>
    <w:p w:rsidR="007E149F" w:rsidRDefault="006941B7"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sidRPr="006941B7">
        <w:rPr>
          <w:rFonts w:ascii="Times New Roman" w:hAnsi="Times New Roman"/>
          <w:color w:val="000000"/>
          <w:szCs w:val="28"/>
        </w:rPr>
        <w:tab/>
      </w:r>
      <w:r w:rsidRPr="006941B7">
        <w:rPr>
          <w:rFonts w:ascii="Times New Roman" w:hAnsi="Times New Roman" w:hint="eastAsia"/>
          <w:color w:val="000000"/>
          <w:szCs w:val="28"/>
        </w:rPr>
        <w:t>Здійснено</w:t>
      </w:r>
      <w:r w:rsidRPr="006941B7">
        <w:rPr>
          <w:rFonts w:ascii="Times New Roman" w:hAnsi="Times New Roman"/>
          <w:color w:val="000000"/>
          <w:szCs w:val="28"/>
        </w:rPr>
        <w:t xml:space="preserve"> </w:t>
      </w:r>
      <w:r w:rsidRPr="006941B7">
        <w:rPr>
          <w:rFonts w:ascii="Times New Roman" w:hAnsi="Times New Roman" w:hint="eastAsia"/>
          <w:color w:val="000000"/>
          <w:szCs w:val="28"/>
        </w:rPr>
        <w:t>контроль</w:t>
      </w:r>
      <w:r w:rsidRPr="006941B7">
        <w:rPr>
          <w:rFonts w:ascii="Times New Roman" w:hAnsi="Times New Roman"/>
          <w:color w:val="000000"/>
          <w:szCs w:val="28"/>
        </w:rPr>
        <w:t xml:space="preserve"> </w:t>
      </w:r>
      <w:r w:rsidRPr="006941B7">
        <w:rPr>
          <w:rFonts w:ascii="Times New Roman" w:hAnsi="Times New Roman" w:hint="eastAsia"/>
          <w:color w:val="000000"/>
          <w:szCs w:val="28"/>
        </w:rPr>
        <w:t>щодо</w:t>
      </w:r>
      <w:r w:rsidRPr="006941B7">
        <w:rPr>
          <w:rFonts w:ascii="Times New Roman" w:hAnsi="Times New Roman"/>
          <w:color w:val="000000"/>
          <w:szCs w:val="28"/>
        </w:rPr>
        <w:t xml:space="preserve"> </w:t>
      </w:r>
      <w:r w:rsidRPr="006941B7">
        <w:rPr>
          <w:rFonts w:ascii="Times New Roman" w:hAnsi="Times New Roman" w:hint="eastAsia"/>
          <w:color w:val="000000"/>
          <w:szCs w:val="28"/>
        </w:rPr>
        <w:t>дозвільних</w:t>
      </w:r>
      <w:r w:rsidRPr="006941B7">
        <w:rPr>
          <w:rFonts w:ascii="Times New Roman" w:hAnsi="Times New Roman"/>
          <w:color w:val="000000"/>
          <w:szCs w:val="28"/>
        </w:rPr>
        <w:t xml:space="preserve"> </w:t>
      </w:r>
      <w:r w:rsidRPr="006941B7">
        <w:rPr>
          <w:rFonts w:ascii="Times New Roman" w:hAnsi="Times New Roman" w:hint="eastAsia"/>
          <w:color w:val="000000"/>
          <w:szCs w:val="28"/>
        </w:rPr>
        <w:t>документів</w:t>
      </w:r>
      <w:r w:rsidRPr="006941B7">
        <w:rPr>
          <w:rFonts w:ascii="Times New Roman" w:hAnsi="Times New Roman"/>
          <w:color w:val="000000"/>
          <w:szCs w:val="28"/>
        </w:rPr>
        <w:t xml:space="preserve"> </w:t>
      </w:r>
      <w:r w:rsidRPr="006941B7">
        <w:rPr>
          <w:rFonts w:ascii="Times New Roman" w:hAnsi="Times New Roman" w:hint="eastAsia"/>
          <w:color w:val="000000"/>
          <w:szCs w:val="28"/>
        </w:rPr>
        <w:t>на</w:t>
      </w:r>
      <w:r w:rsidRPr="006941B7">
        <w:rPr>
          <w:rFonts w:ascii="Times New Roman" w:hAnsi="Times New Roman"/>
          <w:color w:val="000000"/>
          <w:szCs w:val="28"/>
        </w:rPr>
        <w:t xml:space="preserve"> </w:t>
      </w:r>
      <w:r w:rsidRPr="006941B7">
        <w:rPr>
          <w:rFonts w:ascii="Times New Roman" w:hAnsi="Times New Roman" w:hint="eastAsia"/>
          <w:color w:val="000000"/>
          <w:szCs w:val="28"/>
        </w:rPr>
        <w:t>викиди</w:t>
      </w:r>
      <w:r w:rsidRPr="006941B7">
        <w:rPr>
          <w:rFonts w:ascii="Times New Roman" w:hAnsi="Times New Roman"/>
          <w:color w:val="000000"/>
          <w:szCs w:val="28"/>
        </w:rPr>
        <w:t xml:space="preserve"> </w:t>
      </w:r>
      <w:r w:rsidRPr="006941B7">
        <w:rPr>
          <w:rFonts w:ascii="Times New Roman" w:hAnsi="Times New Roman" w:hint="eastAsia"/>
          <w:color w:val="000000"/>
          <w:szCs w:val="28"/>
        </w:rPr>
        <w:t>забруднюючих</w:t>
      </w:r>
      <w:r w:rsidRPr="006941B7">
        <w:rPr>
          <w:rFonts w:ascii="Times New Roman" w:hAnsi="Times New Roman"/>
          <w:color w:val="000000"/>
          <w:szCs w:val="28"/>
        </w:rPr>
        <w:t xml:space="preserve"> </w:t>
      </w:r>
      <w:r w:rsidRPr="006941B7">
        <w:rPr>
          <w:rFonts w:ascii="Times New Roman" w:hAnsi="Times New Roman" w:hint="eastAsia"/>
          <w:color w:val="000000"/>
          <w:szCs w:val="28"/>
        </w:rPr>
        <w:t>речовин</w:t>
      </w:r>
      <w:r w:rsidRPr="006941B7">
        <w:rPr>
          <w:rFonts w:ascii="Times New Roman" w:hAnsi="Times New Roman"/>
          <w:color w:val="000000"/>
          <w:szCs w:val="28"/>
        </w:rPr>
        <w:t xml:space="preserve"> </w:t>
      </w:r>
      <w:r w:rsidRPr="006941B7">
        <w:rPr>
          <w:rFonts w:ascii="Times New Roman" w:hAnsi="Times New Roman" w:hint="eastAsia"/>
          <w:color w:val="000000"/>
          <w:szCs w:val="28"/>
        </w:rPr>
        <w:t>в</w:t>
      </w:r>
      <w:r w:rsidRPr="006941B7">
        <w:rPr>
          <w:rFonts w:ascii="Times New Roman" w:hAnsi="Times New Roman"/>
          <w:color w:val="000000"/>
          <w:szCs w:val="28"/>
        </w:rPr>
        <w:t xml:space="preserve"> </w:t>
      </w:r>
      <w:r w:rsidRPr="006941B7">
        <w:rPr>
          <w:rFonts w:ascii="Times New Roman" w:hAnsi="Times New Roman" w:hint="eastAsia"/>
          <w:color w:val="000000"/>
          <w:szCs w:val="28"/>
        </w:rPr>
        <w:t>атмосферне</w:t>
      </w:r>
      <w:r w:rsidRPr="006941B7">
        <w:rPr>
          <w:rFonts w:ascii="Times New Roman" w:hAnsi="Times New Roman"/>
          <w:color w:val="000000"/>
          <w:szCs w:val="28"/>
        </w:rPr>
        <w:t xml:space="preserve"> </w:t>
      </w:r>
      <w:r w:rsidRPr="006941B7">
        <w:rPr>
          <w:rFonts w:ascii="Times New Roman" w:hAnsi="Times New Roman" w:hint="eastAsia"/>
          <w:color w:val="000000"/>
          <w:szCs w:val="28"/>
        </w:rPr>
        <w:t>повітря</w:t>
      </w:r>
      <w:r w:rsidRPr="006941B7">
        <w:rPr>
          <w:rFonts w:ascii="Times New Roman" w:hAnsi="Times New Roman"/>
          <w:color w:val="000000"/>
          <w:szCs w:val="28"/>
        </w:rPr>
        <w:t xml:space="preserve"> </w:t>
      </w:r>
      <w:r w:rsidRPr="006941B7">
        <w:rPr>
          <w:rFonts w:ascii="Times New Roman" w:hAnsi="Times New Roman" w:hint="eastAsia"/>
          <w:color w:val="000000"/>
          <w:szCs w:val="28"/>
        </w:rPr>
        <w:t>стаціонарними</w:t>
      </w:r>
      <w:r w:rsidRPr="006941B7">
        <w:rPr>
          <w:rFonts w:ascii="Times New Roman" w:hAnsi="Times New Roman"/>
          <w:color w:val="000000"/>
          <w:szCs w:val="28"/>
        </w:rPr>
        <w:t xml:space="preserve"> </w:t>
      </w:r>
      <w:r w:rsidRPr="006941B7">
        <w:rPr>
          <w:rFonts w:ascii="Times New Roman" w:hAnsi="Times New Roman" w:hint="eastAsia"/>
          <w:color w:val="000000"/>
          <w:szCs w:val="28"/>
        </w:rPr>
        <w:t>джерелами</w:t>
      </w:r>
      <w:r w:rsidRPr="006941B7">
        <w:rPr>
          <w:rFonts w:ascii="Times New Roman" w:hAnsi="Times New Roman"/>
          <w:color w:val="000000"/>
          <w:szCs w:val="28"/>
        </w:rPr>
        <w:t>.</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center"/>
        <w:rPr>
          <w:rFonts w:ascii="Times New Roman" w:hAnsi="Times New Roman"/>
          <w:color w:val="000000"/>
          <w:szCs w:val="28"/>
        </w:rPr>
      </w:pPr>
      <w:r>
        <w:rPr>
          <w:rFonts w:ascii="Times New Roman" w:hAnsi="Times New Roman"/>
          <w:b/>
          <w:bCs/>
          <w:color w:val="000000"/>
          <w:szCs w:val="28"/>
        </w:rPr>
        <w:t>Комунальна власність</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ab/>
        <w:t>Головною метою діяльності у галузі ефективного управління комунальним майном на 2025 рік було визначено збереження, цільове використання та примноження об’єктів комунальної власності територіальної громади.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 xml:space="preserve">Відповідно до заявленої мети, визначено належність та зареєстровано право комунальної власності територіальної громади, в особі Боярської міської ради, на 10 об’єктів нерухомого майна. Також, здійснено замовлення проведення технічної інвентаризації та виготовлення технічної документації на об’єкти нерухомого </w:t>
      </w:r>
      <w:r>
        <w:rPr>
          <w:rFonts w:ascii="Times New Roman" w:hAnsi="Times New Roman"/>
          <w:color w:val="000000"/>
          <w:szCs w:val="28"/>
          <w:highlight w:val="white"/>
        </w:rPr>
        <w:lastRenderedPageBreak/>
        <w:t>майна в c. Княжичі, с. Забір'я, с. Тарасівка, м. Боярка задля подальшого оформлення права комунальної власності.</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Крім того, з державної власності у комунальну власність Боярської міської ради прийнято 15 об’єктів нерухомого майна, для подальшої реалізації громадянами права на приватизацію державного житлового фонду.</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З метою цільового використання майна комунальної власності на розгляд сесій Боярської міської ради та засідань Виконавчого комітету Боярської міської ради підготовлено проєкти рішень щодо закріплення майна на праві оперативного управління та господарського відання за підприємствами, установами та організаціями Боярської міської ради.</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Pr>
          <w:rFonts w:ascii="Times New Roman" w:hAnsi="Times New Roman"/>
          <w:color w:val="000000"/>
          <w:szCs w:val="28"/>
          <w:highlight w:val="white"/>
        </w:rPr>
        <w:t>Завданнями діяльності виконавчого комітету на 2025 рік визначались створення умов для ефективного використання майна комунальної власності й забезпечення дохідної частини бюджету та створення привабливих умов для залучення інвестицій.</w:t>
      </w:r>
    </w:p>
    <w:p w:rsidR="007E149F" w:rsidRDefault="00445E8A" w:rsidP="00EB2EDC">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rPr>
      </w:pPr>
      <w:r>
        <w:rPr>
          <w:rFonts w:ascii="Times New Roman" w:hAnsi="Times New Roman"/>
          <w:color w:val="000000"/>
          <w:szCs w:val="28"/>
          <w:highlight w:val="white"/>
        </w:rPr>
        <w:t>Станом на 01.10.2025 року надходження від оренди комунального майна до бюджету територіальної громади складають 508,30 тис. грн., що на 119,40 тис. грн більше, ніж за 9 місяців 2024 року (388,9 тис грн.).</w:t>
      </w:r>
    </w:p>
    <w:p w:rsidR="007E149F" w:rsidRPr="00FC0DF4" w:rsidRDefault="007E149F" w:rsidP="00EB2EDC">
      <w:pPr>
        <w:pBdr>
          <w:top w:val="nil"/>
          <w:left w:val="nil"/>
          <w:bottom w:val="nil"/>
          <w:right w:val="nil"/>
          <w:between w:val="nil"/>
        </w:pBdr>
        <w:spacing w:line="240" w:lineRule="auto"/>
        <w:ind w:leftChars="0" w:left="0" w:firstLineChars="202" w:firstLine="566"/>
        <w:rPr>
          <w:b/>
          <w:bCs/>
          <w:szCs w:val="28"/>
        </w:rPr>
      </w:pPr>
    </w:p>
    <w:p w:rsidR="007E149F" w:rsidRPr="00FC0DF4" w:rsidRDefault="00445E8A">
      <w:pPr>
        <w:ind w:left="0" w:hanging="3"/>
        <w:jc w:val="center"/>
        <w:rPr>
          <w:b/>
          <w:bCs/>
          <w:szCs w:val="28"/>
        </w:rPr>
      </w:pPr>
      <w:r w:rsidRPr="00FC0DF4">
        <w:rPr>
          <w:b/>
          <w:bCs/>
          <w:szCs w:val="28"/>
        </w:rPr>
        <w:t>Інформаційна політика</w:t>
      </w:r>
    </w:p>
    <w:p w:rsidR="007E149F" w:rsidRDefault="007E149F">
      <w:pPr>
        <w:ind w:left="0" w:hanging="3"/>
        <w:jc w:val="center"/>
        <w:rPr>
          <w:b/>
          <w:bCs/>
          <w:szCs w:val="28"/>
          <w:highlight w:val="yellow"/>
        </w:rPr>
      </w:pP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Впродовж 9 місяців 2025 року забезпечувались заходи щодо відкритості та прозорості роботи влади:</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 проведення прямих онлайн-трансляцій засідань виконавчого комітету та сесій Боярської міської ради (проводить відділ  Цифровізації та кібербезпеки;</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запис засідань постійних депутатських комісій (проводить відділ Цифровізації та кібербезпеки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оприлюднення записів на офіційному You-tube каналі БМР в кількості - 105 одиниць.</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Офіційна сторінка Боярська міська рада у соцмережі Facebook має переглядів 3165550 тис, підписників – 7,703 тис.</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Усі новини (371 шт.), оголошення (484 шт.), події та офіційні документи </w:t>
      </w:r>
      <w:r w:rsidRPr="00FC0DF4">
        <w:rPr>
          <w:rFonts w:ascii="Times New Roman" w:hAnsi="Times New Roman"/>
          <w:color w:val="000000"/>
          <w:szCs w:val="28"/>
          <w:highlight w:val="white"/>
        </w:rPr>
        <w:lastRenderedPageBreak/>
        <w:t xml:space="preserve">виконавчого комітету, управлінь, відділів Боярської міської ради, комунальних підприємств, закладів та установ публікувалися на офіційному сайті </w:t>
      </w:r>
      <w:hyperlink r:id="rId18">
        <w:r w:rsidRPr="00FC0DF4">
          <w:rPr>
            <w:rFonts w:ascii="Times New Roman" w:hAnsi="Times New Roman"/>
            <w:color w:val="000000"/>
            <w:szCs w:val="28"/>
            <w:highlight w:val="white"/>
          </w:rPr>
          <w:t>boiarka-rada.gov.ua</w:t>
        </w:r>
      </w:hyperlink>
      <w:r w:rsidRPr="00FC0DF4">
        <w:rPr>
          <w:rFonts w:ascii="Times New Roman" w:hAnsi="Times New Roman"/>
          <w:color w:val="000000"/>
          <w:szCs w:val="28"/>
          <w:highlight w:val="white"/>
        </w:rPr>
        <w:t xml:space="preserve"> , всього 857 шт, та порталі документів </w:t>
      </w:r>
      <w:hyperlink r:id="rId19">
        <w:r w:rsidRPr="00FC0DF4">
          <w:rPr>
            <w:rFonts w:ascii="Times New Roman" w:hAnsi="Times New Roman"/>
            <w:color w:val="000000"/>
            <w:szCs w:val="28"/>
            <w:highlight w:val="white"/>
          </w:rPr>
          <w:t>doc.boiarka-rada.gov.ua</w:t>
        </w:r>
      </w:hyperlink>
      <w:r w:rsidRPr="00FC0DF4">
        <w:rPr>
          <w:rFonts w:ascii="Times New Roman" w:hAnsi="Times New Roman"/>
          <w:color w:val="000000"/>
          <w:szCs w:val="28"/>
          <w:highlight w:val="white"/>
        </w:rPr>
        <w:t xml:space="preserve"> (1206 шт.):  та у соціальних мережах. </w:t>
      </w:r>
    </w:p>
    <w:p w:rsidR="007E149F" w:rsidRPr="00FC0DF4" w:rsidRDefault="007E149F"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p>
    <w:p w:rsidR="007E149F" w:rsidRPr="00FC0DF4" w:rsidRDefault="007E149F"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Спільно із відділом Цифровізації та кібербезпеки БМР відбувалася та продовжується робота над створенням, візуальним оформленням,  наповненням нового сайту БМР.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Публікації лише на сторінці Боярської міської ради у соцмережі Facebook: понад 800.</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Розміщено на сайті за 9 місяців 2025 року: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Оголошення – 566</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Новини – 386</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Анонси засідань - 8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Рішення міської ради – 282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Проєкти рішень – 261</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Порядок денний сесій - 14</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Рішення виконкому – 481</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Порядок денний виконкому - 12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Паспорти бюджетних програм – 28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Результати поіменного голосування – 10</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Перелік рішень, ухвалених на сесії – 11</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Протоколи депутатських комісій - 32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Протоколи погоджувальної ради - 7</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Розпорядження міського голови – 28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Регуляторна політика –  14</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Звіт про виконання бюджету - 2</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Звіти про витрачання коштів резервного фонду - 8</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Також, в рамках інформаційної політики громади та для зручності жителів </w:t>
      </w:r>
      <w:r w:rsidRPr="00FC0DF4">
        <w:rPr>
          <w:rFonts w:ascii="Times New Roman" w:hAnsi="Times New Roman"/>
          <w:color w:val="000000"/>
          <w:szCs w:val="28"/>
          <w:highlight w:val="white"/>
        </w:rPr>
        <w:lastRenderedPageBreak/>
        <w:t>громади у соцмережах діють сторінки комунальних підприємств, закладів, управлінь, групи населених пунктів Боярської громади у ФБ, де постійно розміщується корисна та необхідна інформація.</w:t>
      </w:r>
    </w:p>
    <w:p w:rsidR="007E149F" w:rsidRPr="00FC0DF4" w:rsidRDefault="007E149F"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Комунальне підприємство «Боярський інформаційний центр», має сторінку у соцмережі Facebook. За 9 місяців 2025 року охоплення – 921 134, маємо 8 652 підписників, переглядів – 3 685 511.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Телеграм-канал «Боярська МТГ. Новини» нині охоплює 11 393 підписники.</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На сторінці у Viber «Олександр Зарубін – мер Боярки» маємо аудиторію 4 940 читачів.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Інстаграм-сторінка Боярської громади має 3 708 підписників, охоплення – 30 558, переглядів – 476 079.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Впродовж 9 місяців 2025 року працівниками КП «БІЦ» створено та поширено у соцмережах 33 відеоролики, присвячених різним культурно-просвітницьким, спортивним, пам’ятним, соціальним подіям.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На прохання Управління міжнародного співробітництва, економічного аналізу та стратегічних комунікацій БМР працівниками КП «БІЦ» було створено ще 21 відео.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YouTube-канал КП «БІЦ» має назву «Боярська громада», на який підписано 399 осіб.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 xml:space="preserve">Власних картинок – 195.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Кількість відео, створених і опублікованих у 2025 році станом на 1 жовтня 2025 року – 54 .</w:t>
      </w:r>
    </w:p>
    <w:p w:rsidR="007E149F" w:rsidRPr="00FC0DF4" w:rsidRDefault="00445E8A" w:rsidP="00FC0DF4">
      <w:pPr>
        <w:widowControl w:val="0"/>
        <w:pBdr>
          <w:top w:val="nil"/>
          <w:left w:val="nil"/>
          <w:bottom w:val="nil"/>
          <w:right w:val="nil"/>
          <w:between w:val="nil"/>
        </w:pBdr>
        <w:tabs>
          <w:tab w:val="center" w:pos="4820"/>
          <w:tab w:val="right" w:pos="9641"/>
        </w:tabs>
        <w:spacing w:line="360" w:lineRule="auto"/>
        <w:ind w:leftChars="0" w:left="0" w:firstLineChars="202" w:firstLine="566"/>
        <w:jc w:val="both"/>
        <w:rPr>
          <w:rFonts w:ascii="Times New Roman" w:hAnsi="Times New Roman"/>
          <w:color w:val="000000"/>
          <w:szCs w:val="28"/>
          <w:highlight w:val="white"/>
        </w:rPr>
      </w:pPr>
      <w:r w:rsidRPr="00FC0DF4">
        <w:rPr>
          <w:rFonts w:ascii="Times New Roman" w:hAnsi="Times New Roman"/>
          <w:color w:val="000000"/>
          <w:szCs w:val="28"/>
          <w:highlight w:val="white"/>
        </w:rPr>
        <w:t>Впродовж 9 місяців 2025 року вийшли друком 5 номерів друкованого медіа «Боярка-інформ» загальним накладом 25 тис. примірників (по 5 тис. примірників кожний).</w:t>
      </w:r>
    </w:p>
    <w:p w:rsidR="007E149F" w:rsidRDefault="007E149F" w:rsidP="00EB2EDC">
      <w:pPr>
        <w:pBdr>
          <w:top w:val="nil"/>
          <w:left w:val="nil"/>
          <w:bottom w:val="nil"/>
          <w:right w:val="nil"/>
          <w:between w:val="nil"/>
        </w:pBdr>
        <w:tabs>
          <w:tab w:val="left" w:pos="540"/>
        </w:tabs>
        <w:spacing w:line="240" w:lineRule="auto"/>
        <w:ind w:leftChars="0" w:left="0" w:firstLineChars="202" w:firstLine="566"/>
        <w:jc w:val="center"/>
        <w:rPr>
          <w:rFonts w:ascii="Times New Roman" w:hAnsi="Times New Roman"/>
          <w:color w:val="000000"/>
          <w:szCs w:val="28"/>
        </w:rPr>
      </w:pPr>
    </w:p>
    <w:p w:rsidR="00FA726B" w:rsidRDefault="00FA726B" w:rsidP="00EB2EDC">
      <w:pPr>
        <w:pBdr>
          <w:top w:val="nil"/>
          <w:left w:val="nil"/>
          <w:bottom w:val="nil"/>
          <w:right w:val="nil"/>
          <w:between w:val="nil"/>
        </w:pBdr>
        <w:tabs>
          <w:tab w:val="left" w:pos="540"/>
        </w:tabs>
        <w:spacing w:line="240" w:lineRule="auto"/>
        <w:ind w:leftChars="0" w:left="0" w:firstLineChars="202" w:firstLine="566"/>
        <w:jc w:val="center"/>
        <w:rPr>
          <w:rFonts w:ascii="Times New Roman" w:hAnsi="Times New Roman"/>
          <w:color w:val="000000"/>
          <w:szCs w:val="28"/>
        </w:rPr>
      </w:pPr>
    </w:p>
    <w:p w:rsidR="00FA726B" w:rsidRDefault="00FA726B" w:rsidP="00EB2EDC">
      <w:pPr>
        <w:pBdr>
          <w:top w:val="nil"/>
          <w:left w:val="nil"/>
          <w:bottom w:val="nil"/>
          <w:right w:val="nil"/>
          <w:between w:val="nil"/>
        </w:pBdr>
        <w:tabs>
          <w:tab w:val="left" w:pos="540"/>
        </w:tabs>
        <w:spacing w:line="240" w:lineRule="auto"/>
        <w:ind w:leftChars="0" w:left="0" w:firstLineChars="202" w:firstLine="566"/>
        <w:jc w:val="center"/>
        <w:rPr>
          <w:rFonts w:ascii="Times New Roman" w:hAnsi="Times New Roman"/>
          <w:color w:val="000000"/>
          <w:szCs w:val="28"/>
        </w:rPr>
      </w:pPr>
    </w:p>
    <w:p w:rsidR="007E149F" w:rsidRDefault="007E149F" w:rsidP="00EB2EDC">
      <w:pPr>
        <w:pBdr>
          <w:top w:val="nil"/>
          <w:left w:val="nil"/>
          <w:bottom w:val="nil"/>
          <w:right w:val="nil"/>
          <w:between w:val="nil"/>
        </w:pBdr>
        <w:spacing w:line="240" w:lineRule="auto"/>
        <w:ind w:leftChars="0" w:left="0" w:firstLineChars="0" w:firstLine="0"/>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МЕТА, ЗАВДАННЯ ТА ЗАХОДИ СОЦІАЛЬНОГО, ЕКОНОМІЧНОГО ТА КУЛЬТУРНОГО РОЗВИТКУ БОЯРСЬКОЇ МІСЬКОЇ ТЕРИТОРІАЛЬНОЇ ГРОМАДИ У 2026 РОЦІ</w:t>
      </w:r>
    </w:p>
    <w:p w:rsidR="007E149F" w:rsidRDefault="007E149F">
      <w:pPr>
        <w:pBdr>
          <w:top w:val="nil"/>
          <w:left w:val="nil"/>
          <w:bottom w:val="nil"/>
          <w:right w:val="nil"/>
          <w:between w:val="nil"/>
        </w:pBdr>
        <w:spacing w:line="240" w:lineRule="auto"/>
        <w:ind w:left="0" w:hanging="3"/>
        <w:jc w:val="center"/>
        <w:rPr>
          <w:rFonts w:ascii="Times New Roman" w:hAnsi="Times New Roman"/>
          <w:color w:val="000000"/>
          <w:szCs w:val="28"/>
        </w:rPr>
      </w:pPr>
    </w:p>
    <w:p w:rsidR="007E149F" w:rsidRPr="00EB2EDC" w:rsidRDefault="00445E8A" w:rsidP="00EB2EDC">
      <w:pPr>
        <w:pBdr>
          <w:top w:val="nil"/>
          <w:left w:val="nil"/>
          <w:bottom w:val="nil"/>
          <w:right w:val="nil"/>
          <w:between w:val="nil"/>
        </w:pBdr>
        <w:shd w:val="clear" w:color="auto" w:fill="FFFFFF"/>
        <w:spacing w:line="360" w:lineRule="auto"/>
        <w:ind w:leftChars="0" w:left="0" w:firstLineChars="202" w:firstLine="566"/>
        <w:jc w:val="both"/>
        <w:rPr>
          <w:rFonts w:ascii="Times New Roman" w:eastAsia="Inter" w:hAnsi="Times New Roman"/>
          <w:color w:val="000000"/>
          <w:szCs w:val="28"/>
        </w:rPr>
      </w:pPr>
      <w:r w:rsidRPr="00EB2EDC">
        <w:rPr>
          <w:rFonts w:ascii="Times New Roman" w:eastAsia="Inter" w:hAnsi="Times New Roman"/>
          <w:b/>
          <w:bCs/>
          <w:color w:val="000000"/>
          <w:szCs w:val="28"/>
        </w:rPr>
        <w:t>Мета Програми</w:t>
      </w:r>
      <w:r w:rsidRPr="00EB2EDC">
        <w:rPr>
          <w:rFonts w:ascii="Times New Roman" w:eastAsia="Inter" w:hAnsi="Times New Roman"/>
          <w:color w:val="000000"/>
          <w:szCs w:val="28"/>
        </w:rPr>
        <w:t xml:space="preserve"> забезпечити стабільне та стійке функціонування територіальної громади, сприяючи соціальній згуртованості, економічній мобілізації та покращенню якості життя мешканців. Вона орієнтована на максимальне залучення ресурсів, підтримку і розвиток місцевого бізнесу, охорону довкілля, підвищення рівня соціального захисту населення, а також на підвищення ефективності системи надання освітніх, медичних і житлово-комунальних послуг. Програма відображає стратегічне бачення сталого розвитку громади в контексті національних та регіональних цілей, з урахуванням можливостей і ресурсних потенціалів місцевого рівня, і визначає пріоритетні напрямки діяльності на 2026 рік, забезпечуючи їх фінансове та організаційне наповнення у відповідності до чинного законодавства та постійно досконалюваних планів розвитку.</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Бюджетна політика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бюджетної політики на 2026 рік є забезпечення всіма учасниками бюджетного процесу (управлінням</w:t>
      </w:r>
      <w:r w:rsidR="00DA4BFF">
        <w:rPr>
          <w:rFonts w:ascii="Times New Roman" w:hAnsi="Times New Roman"/>
          <w:color w:val="000000"/>
          <w:szCs w:val="28"/>
          <w:lang w:val="uk-UA"/>
        </w:rPr>
        <w:t>и</w:t>
      </w:r>
      <w:r>
        <w:rPr>
          <w:rFonts w:ascii="Times New Roman" w:hAnsi="Times New Roman"/>
          <w:color w:val="000000"/>
          <w:szCs w:val="28"/>
        </w:rPr>
        <w:t>, виконавчим комітетом Боярської міської ради, комунальними підприємствами, установами та закладами) виконання запланованих показників надходжень до бюджету міської територіальної громади з одночасним підвищенням ефективності використання бюджетних коштів.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Формування дохідної частини бюджету 2026 року відбуватиметься із застосуванням норм Бюджетного та Податкового кодексів України, з урахуванням останніх змін у бюджетному та податковому законодавстві та інших нормативних актів.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виконання бюджету відповідно до затвердженого плану з досягненням збільшення обсягів надходжень.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Забезпечення прозорості бюджетних показників через відкритий доступ до інформації для громадськості.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Ефективне використання бюджетних коштів з пріоритетом на соціально важливі програми і інвестиції.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Дотримання жорсткої фінансової дисципліни всіх учасників бюджетного процесу.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контролю і відповідальності за дотримання бюджетного законодавства.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своєчасної та повної виплати заробітної плати працівникам бюджетних установ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Обґрунтоване і реалістичне планування доходів бюджету на основі показників соціально-економічного розвитку громади та рекомендацій центральних органів влади.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Моніторинг виконання планових показників доходів і своєчасне коригування бюджету у разі необхідності.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Пріоритетне спрямування видатків на першочергові і пріоритетні потреби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Жорсткий контроль за раціональним і ефективним використанням бюджетних коштів.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Підготовка комплексних звітів і їх публічне оприлюднення для підвищення відкритості бюджету.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стабільних і зростаючих бюджетних доходів, що відповідають потребам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Максимально ефективне використання фінансових ресурсів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довіри громадян до бюджетного процесу через прозорість і відкритість.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фінансової стійкості та швидкого реагування на економічні виклики.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Своєчасна виплата заробітної плати працівникам бюджетних установ та підтримка соціальної стабільності.</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Регуляторна політика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Головна мета регуляторної політики направлена на вдосконалення правового регулювання господарських відносин, а також адміністративних відносин між регуляторним органом та суб’єктами господарювання, недопущення прийняття економічно недоцільних та неефективних регуляторних актів, зменшення втручання у діяльність суб'єктів господарювання, усунення перешкод для розвитку господарської діяльності.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Рішенням Боярської міської ради </w:t>
      </w:r>
      <w:r>
        <w:rPr>
          <w:rFonts w:ascii="Times New Roman" w:hAnsi="Times New Roman"/>
          <w:color w:val="000000"/>
          <w:szCs w:val="28"/>
          <w:highlight w:val="cyan"/>
        </w:rPr>
        <w:t>№</w:t>
      </w:r>
      <w:r>
        <w:rPr>
          <w:szCs w:val="28"/>
          <w:highlight w:val="cyan"/>
        </w:rPr>
        <w:t xml:space="preserve"> 70</w:t>
      </w:r>
      <w:r>
        <w:rPr>
          <w:rFonts w:ascii="Times New Roman" w:hAnsi="Times New Roman"/>
          <w:color w:val="000000"/>
          <w:szCs w:val="28"/>
          <w:highlight w:val="cyan"/>
        </w:rPr>
        <w:t>/</w:t>
      </w:r>
      <w:r>
        <w:rPr>
          <w:szCs w:val="28"/>
          <w:highlight w:val="cyan"/>
        </w:rPr>
        <w:t xml:space="preserve">    </w:t>
      </w:r>
      <w:r>
        <w:rPr>
          <w:rFonts w:ascii="Times New Roman" w:hAnsi="Times New Roman"/>
          <w:color w:val="000000"/>
          <w:szCs w:val="28"/>
          <w:highlight w:val="cyan"/>
        </w:rPr>
        <w:t xml:space="preserve"> </w:t>
      </w:r>
      <w:r>
        <w:rPr>
          <w:rFonts w:ascii="Times New Roman" w:hAnsi="Times New Roman"/>
          <w:color w:val="000000"/>
          <w:szCs w:val="28"/>
        </w:rPr>
        <w:t>від 2</w:t>
      </w:r>
      <w:r>
        <w:rPr>
          <w:szCs w:val="28"/>
        </w:rPr>
        <w:t>0</w:t>
      </w:r>
      <w:r>
        <w:rPr>
          <w:rFonts w:ascii="Times New Roman" w:hAnsi="Times New Roman"/>
          <w:color w:val="000000"/>
          <w:szCs w:val="28"/>
        </w:rPr>
        <w:t xml:space="preserve"> листопада 202</w:t>
      </w:r>
      <w:r>
        <w:rPr>
          <w:szCs w:val="28"/>
        </w:rPr>
        <w:t>5</w:t>
      </w:r>
      <w:r>
        <w:rPr>
          <w:rFonts w:ascii="Times New Roman" w:hAnsi="Times New Roman"/>
          <w:color w:val="000000"/>
          <w:szCs w:val="28"/>
        </w:rPr>
        <w:t xml:space="preserve"> року «Про затвердження </w:t>
      </w:r>
      <w:r>
        <w:rPr>
          <w:szCs w:val="28"/>
        </w:rPr>
        <w:t>П</w:t>
      </w:r>
      <w:r>
        <w:rPr>
          <w:rFonts w:ascii="Times New Roman" w:hAnsi="Times New Roman"/>
          <w:color w:val="000000"/>
          <w:szCs w:val="28"/>
        </w:rPr>
        <w:t>лану діяльності з підготовки проектів регуляторних актів на 202</w:t>
      </w:r>
      <w:r>
        <w:rPr>
          <w:szCs w:val="28"/>
        </w:rPr>
        <w:t>6</w:t>
      </w:r>
      <w:r>
        <w:rPr>
          <w:rFonts w:ascii="Times New Roman" w:hAnsi="Times New Roman"/>
          <w:color w:val="000000"/>
          <w:szCs w:val="28"/>
        </w:rPr>
        <w:t xml:space="preserve"> рік»</w:t>
      </w:r>
      <w:r>
        <w:rPr>
          <w:szCs w:val="28"/>
        </w:rPr>
        <w:t xml:space="preserve"> </w:t>
      </w:r>
      <w:r>
        <w:rPr>
          <w:rFonts w:ascii="Times New Roman" w:hAnsi="Times New Roman"/>
          <w:color w:val="000000"/>
          <w:szCs w:val="28"/>
        </w:rPr>
        <w:t>заплановано прийняття наступних регуляторних актів:</w:t>
      </w:r>
    </w:p>
    <w:p w:rsidR="007E149F" w:rsidRPr="00EB2EDC"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sidRPr="00EB2EDC">
        <w:rPr>
          <w:bCs/>
          <w:szCs w:val="28"/>
        </w:rPr>
        <w:t>Про встановлення ставок та пільг зі сплати податку на нерухоме майно, відмінне від земельної ділянки на території Боярської міської територіальної громади</w:t>
      </w:r>
      <w:r w:rsidRPr="00EB2EDC">
        <w:rPr>
          <w:rFonts w:ascii="Times New Roman" w:hAnsi="Times New Roman"/>
          <w:color w:val="000000"/>
          <w:szCs w:val="28"/>
        </w:rPr>
        <w:t xml:space="preserve">. </w:t>
      </w:r>
    </w:p>
    <w:p w:rsidR="007E149F" w:rsidRPr="00EB2EDC"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w:t>
      </w:r>
      <w:r w:rsidRPr="00EB2EDC">
        <w:rPr>
          <w:bCs/>
          <w:szCs w:val="28"/>
        </w:rPr>
        <w:t>Про встановлення ставок єдиного податку на території Боярської міської територіальної громади</w:t>
      </w:r>
      <w:r w:rsidRPr="00EB2EDC">
        <w:rPr>
          <w:rFonts w:ascii="Times New Roman" w:hAnsi="Times New Roman"/>
          <w:color w:val="000000"/>
          <w:szCs w:val="28"/>
        </w:rPr>
        <w:t>.</w:t>
      </w:r>
    </w:p>
    <w:p w:rsidR="007E149F" w:rsidRPr="00EB2EDC" w:rsidRDefault="00445E8A">
      <w:pPr>
        <w:pBdr>
          <w:top w:val="nil"/>
          <w:left w:val="nil"/>
          <w:bottom w:val="nil"/>
          <w:right w:val="nil"/>
          <w:between w:val="nil"/>
        </w:pBdr>
        <w:spacing w:line="360" w:lineRule="auto"/>
        <w:ind w:left="0" w:hanging="3"/>
        <w:jc w:val="both"/>
        <w:rPr>
          <w:szCs w:val="28"/>
        </w:rPr>
      </w:pPr>
      <w:r w:rsidRPr="00EB2EDC">
        <w:rPr>
          <w:szCs w:val="28"/>
        </w:rPr>
        <w:t xml:space="preserve">- </w:t>
      </w:r>
      <w:r w:rsidRPr="00EB2EDC">
        <w:rPr>
          <w:bCs/>
          <w:szCs w:val="28"/>
        </w:rPr>
        <w:t xml:space="preserve">Про затвердження Порядку встановлення земельних сервітутів на території Боярської міської територіальної громади.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Створення умов всім суб’єктам господарювання Боярської міської територіальної громади  для розвитку підприємницької діяльності.</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Надання суб'єктам підприємницької діяльності можливості обрання найбільш ефективної та зручної системи оподаткування, обліку та звітності при здійсненні підприємницької діяльності, що дозволить забезпечити більшу свободу у виборі методів досягнення результатів.</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Збільшення надходжень до місцевого бюджету.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Вдосконалення відносин між міською радою та суб’єктами господарювання, пов’язаними з оподаткуванням місцевими податками.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292929"/>
          <w:szCs w:val="28"/>
        </w:rPr>
      </w:pPr>
      <w:r>
        <w:rPr>
          <w:rFonts w:ascii="Times New Roman" w:hAnsi="Times New Roman"/>
          <w:color w:val="292929"/>
          <w:szCs w:val="28"/>
        </w:rPr>
        <w:t>- Покращення рівня життя та добробуту громади та її соціальної інфраструктури, можливість реалізації соціальних заходів.</w:t>
      </w:r>
    </w:p>
    <w:p w:rsidR="007E149F" w:rsidRDefault="00445E8A">
      <w:pPr>
        <w:widowControl w:val="0"/>
        <w:pBdr>
          <w:top w:val="nil"/>
          <w:left w:val="nil"/>
          <w:bottom w:val="nil"/>
          <w:right w:val="nil"/>
          <w:between w:val="nil"/>
        </w:pBdr>
        <w:tabs>
          <w:tab w:val="left" w:pos="142"/>
        </w:tabs>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Планування діяльності з підготовки проєктів регуляторних актів.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Розробка проєкту регуляторного акта.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Оприлюднення проєкту регуляторного акта.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Розгляд зауважень та пропозицій до проєкту регуляторного акта.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Особливості прийняття регуляторних актів органами місцевого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Відстеження результативності регуляторних актів.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Перегляд регуляторних актів.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Заслуховування звітів про здійснення  державної регуляторної політики.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Оприлюднення інформації про здійснення регуляторної діяльності.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widowControl w:val="0"/>
        <w:pBdr>
          <w:top w:val="nil"/>
          <w:left w:val="nil"/>
          <w:bottom w:val="nil"/>
          <w:right w:val="nil"/>
          <w:between w:val="nil"/>
        </w:pBdr>
        <w:tabs>
          <w:tab w:val="left" w:pos="142"/>
          <w:tab w:val="left" w:pos="1080"/>
        </w:tabs>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своєчасних та у повному обсязі надходжень податків, зборів (обов’язкових платежів) до бюджету Боярської міської територіальної  громади.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Промисловий розвиток</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створення сприятливих умов для розвитку промислового виробництва, підвищення рівня їх інноваційності, технологічної модернізації діючих підприємств, збереження, підтримки та розвитку місцевих товаровиробників, які забезпечують наповнення бюджетів усіх рівнів, чим дають можливість задовольняти інтереси та потреби Боярської міської територіальної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ефективної співпраці між керівниками підприємств та виконавчим комітетом Боярської міської ради, сприяння ефективній роботі підприємств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підприємствам-експортерам громади у нарощуванні обсягів експорту та розширенні ринків збуту;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промисловим підприємствам громади щодо реалізації інвестиційних проєктів, спрямованих на реконструкцію, модернізацію, енергоощадне технічне переоснащення з використанням «зеленої енергетики», розширення виробничих потужностей;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підтримка малого та середнього промислового бізнесу як важливої складової сталого розвитку місцевої економіки;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цифрових технологій у виробництво та маркетинг для підвищення конкурентоспроможності підприємств;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екологічної відповідальності та стійкості виробничих процесів;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молоді до промислового сектору через програми навчання та мотивації.</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впровадженню прогресивних енергоощадних технологій для ефективного використання паливно-енергетичних ресурсів на підприємствах громади, зменшення енергоємності виробництва;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пошук можливостей розширення ринків збуту для продукції місцевих виробників у країні та за кордоном;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інформаційне забезпечення про розширення ринків збуту продукції підприємств, інформування потенційних споживачів про продукцію місцевих товаровиробників;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популяризація місцевих торгових марок серед мешканців громади шляхом організації промоційних акцій, передсвяткових ярмарків, виставок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розвитку малого та середнього промислового бізнесу через консультації, навчання, грантові програми;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цифрових рішень у виробничі процеси та маркетингові кампанії;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програм залучення молоді до роботи в промисловості;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заходи з підвищення екологічної стійкості підприємств.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позитивного іміджу місцевих виробників, підвищення попиту на продукцію місцевих товаровиробників, зростання обсягу реалізації промислової продукції;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експорту продукції промислових підприємств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розвиток малого та середнього промислового бізнесу;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нових робочих місць;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екологічної відповідальності та впровадження сталих виробничих практик;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надходжень до місцевого бюджету.</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підприємництва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сприяння розвитку мікро, малого та середнього бізнесу в умовах воєнного стану та поствоєнного періоду шляхом створення сприятливих умов для ведення підприємницької діяльності, залучення інвестицій та підвищення конкурентоспроможності місцевого бізнесу.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заходів, передбачених Програмою сприяння розвитку мікро, малого та середнього підприємництва у Боярській міській територіальній громаді на 2025–2027 роки.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і впровадження інвестиційного паспорту громади як інструменту залучення інвестицій.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розвитку підприємництва через підтримку, навчання і створення сприятливої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розвитку інфраструктури для підприємництва, включаючи створення бізнес-інкубаторів, майданчиків для ярмарків і шоу-румів.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і підтримка спільноти місцевих підприємців для ефективного обміну досвідом і кооперації.</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Налагодження діалогу між виконавчими органами Боярської міської ради та суб’єктами підприємництва для оперативного реагування на потреби бізнесу.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конкурентоспроможності місцевих підприємств шляхом організації навчальних програм, тренінгів та семінарів.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досліджень інвестиційно привабливих проєктів та аналіз потенційних внутрішніх і зовнішніх інвесторів.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затвердження та популяризація інвестиційного паспорту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Створення та забезпечення функціонування офісу підтримки розвитку підприємництва (бізнес-інкубатора).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Постійне інформування підприємців про актуальні грантові можливості та підтримка у підготовці грантових заявок.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майданчиків для проведення ярмарків та реалізації продукції особистих селянських господарств.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Відкриття шоу-румів для популяризації і продажу товарів крафтового виробництва.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регулярних нетворкінгових заходів для місцевих підприємців, що сприятимуть обміну досвідом і розвитку бізнес-спільноти.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бізнесу до прийняття рішень на місцевому рівні та популяризація підприємництва серед населення.</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бізнес-клімату в громаді та підвищення інвестиційної привабливості.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Зростання кількості зареєстрованих суб’єктів підприємницької діяльності, зокрема малих та середніх підприємств.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робочих місць у громаді.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Зростання надходжень до місцевого бюджету від підприємницької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Сильна підприємницька спільнота, яка активно взаємодіє з органами місцевого самоврядування та підтримує розвиток громади.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споживчого ринку та сфери послуг</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Головна мета розвитку споживчого ринку та сфери послуг полягає у створенні сприятливих умов для стабільного економічного зростання місцевого споживчого ринку, підвищенні якості та доступності товарів і послуг для населення, сприянні розвитку мікро, малого і середнього бізнесу у сфері послуг, що забезпечить покращення добробуту мешканців громади та зміцнення соціально-економічної стабільності.</w:t>
      </w:r>
    </w:p>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lastRenderedPageBreak/>
        <w:t xml:space="preserve">створення умов для розвитку малого і середнього підприємництва у сфері торгівлі та послуг;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розширення асортименту та підвищення якості товарів і послуг, доступних для мешканців;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забезпечення стабільності та прозорості роботи споживчого ринку;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підтримка і розвиток інфраструктури ринків, торговельних майданчиків, ярмарків;</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підвищення рівня захисту прав споживачів і розвиток соціальних послуг.</w:t>
      </w:r>
    </w:p>
    <w:p w:rsidR="007E149F" w:rsidRDefault="00445E8A">
      <w:p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надання консультаційної, інформаційної і фінансової підтримки підприємцям у сфері торгівлі та послуг;</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організація навчальних програм і тренінгів для підприємців;</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впровадження сучасних адміністративних процедур для полегшення ведення мікро, малого бізнесу;</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 xml:space="preserve">співпраця з громадськими організаціями для реалізації проектів з розвитку сфери послуг; </w:t>
      </w:r>
    </w:p>
    <w:p w:rsidR="007E149F" w:rsidRDefault="00445E8A">
      <w:pPr>
        <w:numPr>
          <w:ilvl w:val="0"/>
          <w:numId w:val="17"/>
        </w:numPr>
        <w:pBdr>
          <w:top w:val="nil"/>
          <w:left w:val="nil"/>
          <w:bottom w:val="nil"/>
          <w:right w:val="nil"/>
          <w:between w:val="nil"/>
        </w:pBdr>
        <w:spacing w:before="105" w:after="105" w:line="360" w:lineRule="auto"/>
        <w:ind w:left="0" w:hanging="3"/>
        <w:rPr>
          <w:rFonts w:ascii="Times New Roman" w:hAnsi="Times New Roman"/>
          <w:color w:val="000000"/>
          <w:szCs w:val="28"/>
        </w:rPr>
      </w:pPr>
      <w:r>
        <w:rPr>
          <w:rFonts w:ascii="Times New Roman" w:hAnsi="Times New Roman"/>
          <w:color w:val="000000"/>
          <w:szCs w:val="28"/>
        </w:rPr>
        <w:t>вжиття згідно повноважень та законодавства заходів щодо ліквідації місць стихійної торгівлі.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зростання кількості підприємств у сфері споживчого ринку та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доступності і якості товарів і послуг для жителів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задоволеності мешканців від якості обслуговування та асортименту;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-залучення інвестицій у розвиток інфраструктури торгівлі та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посилення соціальної стабільності та створення нових робочих місць.</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Продовольча безпека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Мета - забезпечення продовольчої безпеки громади шляхом створення умов для сталого, безпечного та достатнього забезпечення всіх соціальних і демографічних груп населення якісними харчовими продуктами та питною </w:t>
      </w:r>
      <w:r>
        <w:rPr>
          <w:rFonts w:ascii="Times New Roman" w:hAnsi="Times New Roman"/>
          <w:color w:val="000000"/>
          <w:szCs w:val="28"/>
        </w:rPr>
        <w:lastRenderedPageBreak/>
        <w:t>водою, а також розвитку продовольчої незалежності громади і підвищення її готовності до кризових ситуацій.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Забезпечити рівний доступ усіх верств населення до безпечних харчових продуктів і якісної питної води в необхідній кількості.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Збільшити обсяги виробництва домогосподарств екологічно чистих продуктів харчування, пропагувати продовольчу грамотність та відповідальне споживання серед мешканців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Гарантувати безперебійне забезпечення питною водою у кризові та надзвичайні періоди.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Надати комплексну підтримку вразливим верствам населення, зокрема внутрішньо переміщеним особам.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Розвивати кооперацію між владою, бізнесом та громадськістю задля ефективного вирішення питань продовольчої безпеки.</w:t>
      </w:r>
    </w:p>
    <w:p w:rsidR="007E149F" w:rsidRDefault="00445E8A">
      <w:pPr>
        <w:pBdr>
          <w:top w:val="nil"/>
          <w:left w:val="nil"/>
          <w:bottom w:val="nil"/>
          <w:right w:val="nil"/>
          <w:between w:val="nil"/>
        </w:pBdr>
        <w:spacing w:after="200"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w:t>
      </w:r>
    </w:p>
    <w:p w:rsidR="007E149F" w:rsidRPr="00DA4BF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w:t>
      </w:r>
      <w:r w:rsidRPr="00DA4BFF">
        <w:rPr>
          <w:rFonts w:ascii="Times New Roman" w:hAnsi="Times New Roman"/>
          <w:color w:val="000000"/>
          <w:szCs w:val="28"/>
        </w:rPr>
        <w:t xml:space="preserve">Реалізація заходів затвердженої Програми забезпечення продовольчої безпеки Боярської міської територіальної громади на 2025-2027 роки. </w:t>
      </w:r>
    </w:p>
    <w:p w:rsidR="007E149F" w:rsidRPr="00DA4BF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sidRPr="00DA4BFF">
        <w:rPr>
          <w:rFonts w:ascii="Times New Roman" w:hAnsi="Times New Roman"/>
          <w:color w:val="000000"/>
          <w:szCs w:val="28"/>
        </w:rPr>
        <w:t>- Моніторинг якості, доступності та цін на основні харчові продукти і питну воду.</w:t>
      </w:r>
    </w:p>
    <w:p w:rsidR="007E149F" w:rsidRPr="00DA4BF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sidRPr="00DA4BFF">
        <w:rPr>
          <w:rFonts w:ascii="Times New Roman" w:hAnsi="Times New Roman"/>
          <w:color w:val="000000"/>
          <w:szCs w:val="28"/>
        </w:rPr>
        <w:t xml:space="preserve">- Стимулювання домогомподарств до вирощування екологічно чистих продуктів харчування через </w:t>
      </w:r>
      <w:r w:rsidRPr="00DA4BFF">
        <w:rPr>
          <w:rFonts w:ascii="Times New Roman" w:eastAsia="Inter" w:hAnsi="Times New Roman"/>
          <w:color w:val="000000"/>
          <w:szCs w:val="28"/>
        </w:rPr>
        <w:t>навчальні програми, тренінги та семінари з питань органічного землеробства, екологічних методів вирощування, компостування і догляду за ґрунтом</w:t>
      </w:r>
      <w:r w:rsidRPr="00DA4BFF">
        <w:rPr>
          <w:rFonts w:ascii="Times New Roman" w:hAnsi="Times New Roman"/>
          <w:color w:val="000000"/>
          <w:szCs w:val="28"/>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продовольчого резерву для забезпечення соціальної підтримки та локальної безпеки в надзвичайних ситуаціях.</w:t>
      </w:r>
    </w:p>
    <w:p w:rsidR="007E149F" w:rsidRDefault="00445E8A">
      <w:pPr>
        <w:widowControl w:val="0"/>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Зростання обсягів виробництва якісних харчових продуктів місцевими підприємствами та домогосподарствами.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доступності безпечних і екологічних продуктів харчування для всіх мешканців громади.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Забезпечення якісною питною водою населення та комунальних установ, особливо у кризові періоди.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Посилення взаємодії між владою, бізнесом і громадськістю для сталого розвитку продовольчого ринку.</w:t>
      </w:r>
    </w:p>
    <w:p w:rsidR="007E149F" w:rsidRDefault="00445E8A">
      <w:pPr>
        <w:numPr>
          <w:ilvl w:val="0"/>
          <w:numId w:val="21"/>
        </w:numPr>
        <w:pBdr>
          <w:top w:val="nil"/>
          <w:left w:val="nil"/>
          <w:bottom w:val="nil"/>
          <w:right w:val="nil"/>
          <w:between w:val="nil"/>
        </w:pBdr>
        <w:spacing w:after="200" w:line="360" w:lineRule="auto"/>
        <w:ind w:left="0" w:hanging="3"/>
        <w:jc w:val="both"/>
        <w:rPr>
          <w:rFonts w:ascii="Times New Roman" w:hAnsi="Times New Roman"/>
          <w:color w:val="000000"/>
          <w:szCs w:val="28"/>
        </w:rPr>
      </w:pPr>
      <w:r>
        <w:rPr>
          <w:rFonts w:ascii="Times New Roman" w:hAnsi="Times New Roman"/>
          <w:color w:val="000000"/>
          <w:szCs w:val="28"/>
        </w:rPr>
        <w:t>Створення надійного продовольчого запасу, що дозволить оперативно реагувати на надзвичайні ситуації та підтримувати вразливі категорії населення.</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Земельні  відносини</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забезпечення реалізації державної та місцевої політики у сфері земельних відносин відповідно до чинного законодавства України, спрямованої на ефективне, прозоре та раціональне використання земельних ресурсів територіальної громади з метою сталого соціально-економічного розвитку.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ефективного управління землями територіальної громади з акцентом на цільове і раціональне їх використання.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сприятливих умов для залучення інвестицій у земельну сферу.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прозорих і конкурентних процедур продажу земель комунальної власності на аукціонах з використанням електронних систем для підвищення доступності та прозорості.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повної інвентаризації та оформлення земель комунальної власності.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Вжиття заходів для усунення порушень земельного законодавства та контролю за своєчасним і повним справлянням земельного податку.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ринку земель в громаді, у тому числі через організацію прозорих земельних торгів.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Інвентаризація земельних ділянок та оформлення відповідної технічної документації, зокрема на землі зелених зон (парки, сквери, лісопарки).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Здійснення регулярного моніторингу використання земельних ресурсів та публічна звітність щодо їх стану та надходжень до бюджету.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Виконання комплексних заходів щодо запобігання незаконним захопленням та використанню земель.</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стабільних надходжень до бюджету громади від оренди і продажу земельних ділянок.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ефективності використання земель, удосконалення планувальної та функціональної організації територій.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Своєчасне і прозоре оформлення прав на землю з максимальним використанням електронних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Оновлення цифрових планово-картографічних матеріалів із відкритим доступом для громадськості.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інвестиційної привабливості громади через прозорість і упорядкування земельних відносин.</w:t>
      </w:r>
    </w:p>
    <w:p w:rsidR="007E149F" w:rsidRDefault="007E149F">
      <w:pPr>
        <w:pBdr>
          <w:top w:val="nil"/>
          <w:left w:val="nil"/>
          <w:bottom w:val="nil"/>
          <w:right w:val="nil"/>
          <w:between w:val="nil"/>
        </w:pBdr>
        <w:spacing w:line="240" w:lineRule="auto"/>
        <w:ind w:left="0" w:hanging="3"/>
        <w:jc w:val="center"/>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Містобудівна діяльність</w:t>
      </w:r>
    </w:p>
    <w:p w:rsidR="007E149F" w:rsidRDefault="00445E8A" w:rsidP="00EB2EDC">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ефективне і раціональне планування території, збереження та розвиток інфраструктури громади шляхом поліпшення технічних характеристик якості об'єктів соціально-культурного призначення, житлово-комунального господарства, житлового будівництва, виробничої та інженерно-транспортної інфраструктури Боярської міської територіальної громади.</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темпів виконання будівельно-монтажних робіт на території громади, створення естетичного, інвестиційно-привабливого середовища для залучення коштів інвесторів з інших міст та держав;</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фінансування на виконання будівельних, ремонтних робіт, реконструкції та благоустрою;</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та впровадження містобудівної документації (комплексний план просторового розвитку території, генеральні та детальні плани);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Визначення параметрів використання територій та будівель (функціональне призначення, поверховість, площа забудови) з урахуванням екологічної безпеки та комфортності;</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Підвищення стандартів екологічної безпеки та енергоефективності будівництва;</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розвитку "розумної" інфраструктури та цифрових сервісів для управління міським простором.</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виконання зазначених цілей:</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Розроблення, затвердження та оновлення містобудівної документації, включно з детальними планами території із залученням громадськості відповідно до законодавства;</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Впровадження сучасних технологій планування для забезпечення раціонального використання земельних ресурсів;</w:t>
      </w:r>
    </w:p>
    <w:p w:rsidR="007E149F" w:rsidRPr="00EB2EDC" w:rsidRDefault="00EB2EDC">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ab/>
      </w:r>
      <w:r w:rsidR="00445E8A" w:rsidRPr="00EB2EDC">
        <w:rPr>
          <w:rFonts w:ascii="Times New Roman" w:hAnsi="Times New Roman"/>
          <w:color w:val="000000"/>
          <w:szCs w:val="28"/>
        </w:rPr>
        <w:tab/>
        <w:t>Проведення робіт з оновлення інженерної, транспортної та соціальної інфраструктури у відповідності до потреб населення і інвестиційної привабливості;</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Забезпечення контролю за дотриманням містобудівних норм та стандартів при виконанні будівельних робіт;</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Реалізація заходів з підвищення екологічної чистоти й безпеки міської території;</w:t>
      </w:r>
    </w:p>
    <w:p w:rsidR="007E149F" w:rsidRPr="00EB2EDC"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sidRPr="00EB2EDC">
        <w:rPr>
          <w:rFonts w:ascii="Times New Roman" w:hAnsi="Times New Roman"/>
          <w:color w:val="000000"/>
          <w:szCs w:val="28"/>
        </w:rPr>
        <w:tab/>
      </w:r>
      <w:r w:rsidR="00EB2EDC">
        <w:rPr>
          <w:rFonts w:ascii="Times New Roman" w:hAnsi="Times New Roman"/>
          <w:color w:val="000000"/>
          <w:szCs w:val="28"/>
        </w:rPr>
        <w:tab/>
      </w:r>
      <w:r w:rsidRPr="00EB2EDC">
        <w:rPr>
          <w:rFonts w:ascii="Times New Roman" w:hAnsi="Times New Roman"/>
          <w:color w:val="000000"/>
          <w:szCs w:val="28"/>
        </w:rPr>
        <w:t>Стимулювання інвестицій у розвиток сучасних житлових комплексів і комунальних споруд з дотриманням принципів сталого розвитку.</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естетичного, комфортного і інвестиційно-привабливого міського середовища;</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потреб населення у якісному сучасному житлі та якісних соціальних і культурних об’єктах;</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якості життя мешканців громади через покращення інфраструктури і екологічної безпеки;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прозорості процесів містобудування та залучення громадськості;</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інноваційних підходів у плануванні та управлінні територіями.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Сприяння покращенню інвестиційного клімату</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lastRenderedPageBreak/>
        <w:t>Метою є створення відповідних умов для поліпшення інвестиційного клімату в Боярській міській територіальній громаді та підвищення рівня інвестиційної привабливості, відновлення інвестиційної активності суб’єктів господарювання; підвищення ефективності інвестування шляхом збільшення капітальних інвестицій у реалізацію інвестиційних проєктів, які передбачають впровадження новітніх енергоефективних технологій та цифрових рішень.</w:t>
      </w:r>
    </w:p>
    <w:p w:rsidR="007E149F" w:rsidRPr="00EB2EDC" w:rsidRDefault="00445E8A" w:rsidP="00EB2EDC">
      <w:pPr>
        <w:pBdr>
          <w:top w:val="nil"/>
          <w:left w:val="nil"/>
          <w:bottom w:val="nil"/>
          <w:right w:val="nil"/>
          <w:between w:val="nil"/>
        </w:pBdr>
        <w:spacing w:line="360" w:lineRule="auto"/>
        <w:ind w:leftChars="0" w:left="0" w:firstLineChars="0" w:firstLine="720"/>
        <w:jc w:val="both"/>
        <w:rPr>
          <w:color w:val="000000" w:themeColor="text1"/>
          <w:szCs w:val="28"/>
        </w:rPr>
      </w:pPr>
      <w:r w:rsidRPr="00EB2EDC">
        <w:rPr>
          <w:color w:val="000000" w:themeColor="text1"/>
          <w:szCs w:val="28"/>
        </w:rPr>
        <w:t>Реалізація затвердженого</w:t>
      </w:r>
      <w:r w:rsidRPr="00EB2EDC">
        <w:rPr>
          <w:color w:val="000000" w:themeColor="text1"/>
          <w:sz w:val="14"/>
          <w:szCs w:val="14"/>
        </w:rPr>
        <w:t xml:space="preserve"> </w:t>
      </w:r>
      <w:r w:rsidRPr="00EB2EDC">
        <w:rPr>
          <w:color w:val="000000" w:themeColor="text1"/>
          <w:szCs w:val="28"/>
        </w:rPr>
        <w:t>Єдиного проєктного  портфеля публічних інвестицій Боярської міської територіальної громади  (ЄПП) на 2026 рік в системі DREAM сприятиме підвищенню ефективності інвестування, зокрема шляхом збільшення обсягів капітальних інвестицій у впровадження інноваційних, енергоефективних та цифрових технологій, спрямованих на сталий економічний розвиток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інвестиційного паспорту громади із використанням цифрових платформ для його популяризації серед потенційних інвесторів.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прозорих, стабільних та автоматизованих правил для інвесторів, що сприятиме відкритості, довірі та зниженню корупційних ризиків.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комплексного розвитку інфраструктури для ведення підприємництва, включно із цифровою інфраструктурою.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освітніх та інформаційних заходів для підвищення інвестиційної грамотності жителів громади і підтримки підприємництва, зокрема у сферах енергоефективності, інновацій та цифрових технологій.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інновацій та стимулювання розвитку нових галузей економіки, таких як «зелена» енергетика, креативні індустрії, цифрові сервіси.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сучасної забудови територіальної громади з урахуванням принципів сталого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інвестицій в створення, утримання та модернізацію об’єктів благоустрою та комунальної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міжнародної співпраці та залучення міжнародних донорів і партнерів.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lastRenderedPageBreak/>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Написання проектів та активна участь у грантових і міжнародних програмах.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тренінгів, семінарів для працівників управлінь, комунальних підприємств для підвищення навичок підготовки якісних грантових проектів.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Інвентаризація об’єктів нерухомості комунального майна з цифровим супроводом.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Виготовлення відеороликів та мультимедійних презентацій для промоції інвестиційних об’єктів.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представникам громади в участі у виставках, форумах, галузевих конференціях.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Популяризація інвестиційного потенціалу громади серед міжнародних організацій, компаній та інвесторів.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та проведення круглих столів і експертних консультацій з питань розвитку інвестиційного та промислового потенціалу за участю вітчизняних і міжнародних експертів.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Виготовлення і розповсюдження сучасної іміджевої продукції та інформаційних матеріалів (буклетів, проспектів, банерів) через офлайн і онлайн канали.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систем комунікації та моніторингу ефективності інвестиційних проектів.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Зростання кількості зареєстрованих підприємств та фізичних осіб-підприємців.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надходжень до бюджету завдяки капітальним і операційним інвестиціям.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позитивного інвестиційного іміджу територіальної громади на національному та міжнародному рівнях.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Технічне і технологічне оновлення, розширення і зростання обсягів виробництва продукції місцевими підприємствами.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Підвищення рівня культури торговельного обслуговування та якості надання послуг населенню.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умов для сталого економічного, соціального та екологічного розвитку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інвестицій у «зелені» технології та цифрову трансформацію, підвищення енергоефективності та екологічної безпеки.</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міжнародного співробітництва та залучення міжнародної технічної допомоги</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забезпечення реалізації державної політики у сфері міжнародних відносин; створення необхідних умов для встановлення нових, поглиблення існуючих економічних, соціальних, екологічних, освітніх, культурних та інших відносин Боярської міської територіальної громади з представниками міжнародної спільноти; взаємодії з міжнародними організаціями і фінансовими інституціями в рамках міжнародної технічної допомоги; підтримка позитивного міжнародного іміджу Боярської міської територіальної громади; активна участь у реалізації спільних проєктів, спрямованих на підвищення якості життя мешканців громади та посилення її інвестиційної привабливості.</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і систематизація міжнародного співробітництва, зокрема, з регіонами Західної Європи та іншими стратегічно важливими партнерами.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Поглиблення зв’язків із містами-побратимами, регіональними та міжнародними організаціями.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участі громади у міжнародних регіональних та європейських структурах.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донорських коштів і грантів від міжнародних партнерів для реалізації соціально-економічних та екологічних проєктів.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спроможностей громади у розвитку міжнародного співробітництва в освітній, культурній, медичній, екологічній та інших сферах.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та координація співпраці з місцевими громадськими організаціями, міжнародними фондами, програмами і експертами.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Створення умов для активного міжнародного обміну та впровадження найкращих практик у місцевому самоврядуванні.</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міжнародних обмінів делегаціями, студійних візитів, науково-практичних конференцій, семінарів, форумів і зустрічей, зокрема з містами-побратимами.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обсягів виготовлення та поширення сучасних мультикультурних промоційних і презентаційних матеріалів про громаду.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щорічних заходів з нагоди Дня Європи та інших міжнародних дат.</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Підготовка і подача спільних з партнерами заявок на міжнародні гранти і технічну допомогу.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тісної співпраці з українською діаспорою, організація спільних проектів і заходів.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і розширення комунікації з українцями, які тимчасово перебувають за кордоном.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міжнародних візитів, участь у міжнародних платформах та проєктах.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цифрових рішень для ефективного управління міжнародними зв’язками та експорту інформації про громаду.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співпраці з європейськими ініціативами з підтримки сталого розвитку та євроінтеграції.</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географії міжмуніципального, регіонального та міжнародного партнерства.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ролі міжнародних зустрічей і конференцій у формуванні позитивного іміджу Боярської громади на міжнародній арені.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Успішне укладення нових двосторонніх і багатосторонніх угод і меморандумів.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Активне залучення міжнародної технічної та фінансової допомоги до реалізації проєктів сталого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іміджу громади як сучасного, відкритого, інноваційного і європейського міста.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кваліфікації працівників громади через обміни досвідом і міжнародне навчання.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Активна участь Боярської громади у міжнародних програмах і ініціативах, що сприяє її економічному та соціальному зростанню.</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Розвиток туристичного потенціалу</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активізація реалізації туристичного потенціалу громади у 2026 році шляхом комплексного використання природних і історичних ресурсів, підвищення туристичної привабливості й стимулювання підприємницької активності.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туристичної інфраструктури, зокрема оновлення наявних туристичних маршрутів і створення нових об’єктів туристичної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навчальних програм і тренінгів для підготовки фахівців туристичного сектору;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 xml:space="preserve">Реалізація заходів із цифровізації туристичних послуг,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промоції громади на регіональному та міжрегіональному рівнях, участь у туристичних виставках і форумах;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культурних і туристичних подій, що підвищують впізнаваність бренду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Визначення та промаркування туристичних маршрутів, розробка екологічних стежок із урахуванням збереження довкілля і сталого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Встановлення</w:t>
      </w:r>
      <w:r>
        <w:rPr>
          <w:szCs w:val="28"/>
        </w:rPr>
        <w:t xml:space="preserve"> системи </w:t>
      </w:r>
      <w:r>
        <w:rPr>
          <w:rFonts w:ascii="Times New Roman" w:hAnsi="Times New Roman"/>
          <w:color w:val="000000"/>
          <w:szCs w:val="28"/>
        </w:rPr>
        <w:t>туристичних вказівників і інформаційних дощок, адаптованих для інклюзивності та зручності відвідувачів;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офіційного туристичного порталу громади з інтерактивними картами, інформацією про події та послуги;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Розробка і впровадження бренду громади, включно з логотипом і слоганом, що відображають унікальність регіону та його культурно-історичну спадщину;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Розробка «Дорожньої карти сталого розвитку туризму» в межах дестинації «Долина двох рік», що інтегрує заходи з екологічної безпеки, збереження природи та залучення громадськості;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Активна участь у туристичних проектах обласного та державного рівнів, співпраця з бізнесом і громадськими організаціями згідно з пріоритетами Стратегії.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інфраструктури для активного туризму (велосипедні доріжки, місця для відпочинку, кемпінги);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r>
      <w:r>
        <w:rPr>
          <w:szCs w:val="28"/>
        </w:rPr>
        <w:t>Організація заходів на природі, що залучають туристів до відпочинку на свіжому повітрі, наприклад, походи, спортивні змагання;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фестивалів, тематичних маршрутів і культурних подій, які підтримують локальну ідентичність і залучають туристів;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практик екотуризму і розвитку «зеленого» туризму, що відповідають екологічним цілям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Моніторинг і оцінка впливу туристичної діяльності на місцеве середовище та економіку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туристів і підвищення рівня задоволеності послугами;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впізнаваності і позитивного іміджу громади завдяки активній промоції та культурним заходам;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стійкої туристичної індустрії з залученням нових інвестицій;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підприємництва у сфері туризму і громадського обслуговування;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соціальної інтеграції через участь в туристичних проектах вразливих категорій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Розвиток туристичного потенціалу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позитивного іміджу громади як привабливого туристичного центру;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Збільшення кількості туристичних пропозицій і системна промоція бренду громади на регіональному та міжнародному рівнях;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розвитку підприємництва в туристичній сфері;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 w:val="26"/>
          <w:szCs w:val="26"/>
        </w:rPr>
      </w:pPr>
      <w:r>
        <w:rPr>
          <w:rFonts w:ascii="Times New Roman" w:hAnsi="Times New Roman"/>
          <w:color w:val="000000"/>
          <w:szCs w:val="28"/>
        </w:rPr>
        <w:t>•</w:t>
      </w:r>
      <w:r>
        <w:rPr>
          <w:rFonts w:ascii="Times New Roman" w:hAnsi="Times New Roman"/>
          <w:color w:val="000000"/>
          <w:szCs w:val="28"/>
        </w:rPr>
        <w:tab/>
        <w:t>Залучення додаткових фінансових ресурсів у бюджет громади, зокрема через розвиток туристичних послуг та інвестицій.</w:t>
      </w:r>
      <w:r>
        <w:rPr>
          <w:rFonts w:ascii="Times New Roman" w:hAnsi="Times New Roman"/>
          <w:b/>
          <w:bCs/>
          <w:color w:val="000000"/>
          <w:sz w:val="26"/>
          <w:szCs w:val="26"/>
        </w:rPr>
        <w:t xml:space="preserve"> </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Житлово-комунальне господарство</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надання якісних житлово-комунальних послуг мешканцям громади, створення комфортних і безпечних умов проживання для всіх категорій населення, що відповідає стратегічним цілям.</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населення житлово-комунальними послугами належного рівня та якості, орієнтоване на сталий розвиток і підвищення ефективності управління ресурсами.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Подальше впровадження та оновлення Програми реформування і розвитку житлово-комунального господарства з урахуванням сучасних екологічних і технологічних стандартів.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Активне впровадження енергозберігаючих заходів шляхом підтримки та кредитування ОСББ, житлово-будівельних кооперативів, спрямоване на зменшення споживання енергоресурсів.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Системне запобігання підтоплення території громади зливовими та дощовими водами через реконструкцію мереж водовідведення і застосування інноваційних композитних матеріалів.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і використання новітніх технологій для збору, сортування та переробки побутових і промислових відходів із пріоритетом екологічної безпеки та мінімізації впливу на довкілля.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Благоустрій, озеленення публічних просторів, парків і прибудинкових територій із залученням громадськості та волонтерських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Ефективне вирішення екологічних проблем водопровідно-каналізаційного господарства, зокрема зменшення екологічних ризиків через модернізацію систем і впровадження екологічної освіти та просвіти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Комплексна робота із безпритульними тваринами, що передбачає контроль, профілактику санітарно-епідеміологічних проблем, гуманне поводження та створення тимчасових притулків.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Розробка та впровадження комплексної схеми організації дорожнього руху з урахуванням потреб громади і безпеки всіх учасників руху.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обліку та паспортизації вулиць і об'єктів інфраструктури громади для створення актуальної цифрової карти.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Продовження реконструкції та капітального ремонту вулиць, тротуарів і прибудинкових територій з використанням енергоефективних та довговічних матеріалів.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Будівництво нових вулиць, доріг, а також модернізація існуючих шляхопроводів, особливо з урахуванням потреб безпеки на залізничних переїздах у Боярці та Тарасівці.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Постійний контроль персоналом міської ради за санітарним станом і чистотою міської території.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Капітальний ремонт і модернізація ліфтів з урахуванням стандартів безпеки і зношеності понад 25 років.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енергозберігаючих заходів у житловому фонді, зокрема утеплення, модернізація опалювальних систем та встановлення енергомоніторингу.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Влаштування нових майданчиків для роздільного збору твердих побутових відходів з інформаційною підтримкою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Очищення і модернізація мереж зливової каналізації, відведення поверхневих вод від промислових зон з екологічним моніторингом.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Фінансування лікування, харчування та утримання безпритульних тварин, запровадження програм стерилізації.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Контроль чисельності бездомних тварин, з примусовим виселенням агресивних особин у тимчасові притулки.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Капітальні ремонти житлових будинків комунальної власності з оновленням конструктивних елементів.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Введення сучасних екологічних стандартів для функціонування транспортної системи громади, спрямоване на зменшення викидів.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Вдосконалення системи поводження з відходами, впровадження сучасних технологій сортування і переробки для збереження екології.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Поліпшення стану вулично-дорожньої мережі, відповідність її нормативним вимогам і створення комфортної дорожньої інфраструктури.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безпеки дорожнього руху через застосування сучасних технічних засобів регулювання, інформаційних систем і контролю руху.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мережі систем відеоспостереження на ключових ділянках доріг та прибудинкових територіях для громадської безпеки.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управління інфраструктурою вулично-дорожньої мережі з використанням цифрових моделей та систем моніторингу.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Зменшення забруднення атмосфери шляхом модернізації транспортних засобів і застосування екологічних норм.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транспортного сполучення між населеними пунктами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інвестиційної привабливості через прозоре управління проєктами інфраструктурного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координації проєктування та будівництва шляхопроводу через залізничні колії Південно-Західної залізниці, облаштування огорож та під'їзних шляхів в межах Боярської громади — важливий крок для підвищення безпеки мешканців.</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 xml:space="preserve">Благоустрій територій </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w:t>
      </w:r>
      <w:r w:rsidR="00EB2EDC">
        <w:rPr>
          <w:rFonts w:ascii="Times New Roman" w:hAnsi="Times New Roman"/>
          <w:color w:val="000000"/>
          <w:szCs w:val="28"/>
          <w:lang w:val="uk-UA"/>
        </w:rPr>
        <w:t xml:space="preserve"> </w:t>
      </w:r>
      <w:r>
        <w:rPr>
          <w:rFonts w:ascii="Times New Roman" w:hAnsi="Times New Roman"/>
          <w:color w:val="000000"/>
          <w:szCs w:val="28"/>
        </w:rPr>
        <w:t>— створення комфортного, естетично привабливого й безпечного середовища, яке сприяє підвищенню якості життя мешканців і розвитку туристичної привабливості населених пунктів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Впорядкування інвентаризаційних матеріалів на об’єкти та елементи благоустрою з виготовленням детальних паспортів об'єктів благоустрою та історико-культурної спадщини для системного управління.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Утримання та догляд за зеленими насадженнями з урізноманітненням асортименту квітників, включно із впровадженням багаторічних і однорічних рослин з урахуванням екологічних стандартів.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Дотримання норм і правил щодо утримання об’єктів і елементів благоустрою у належному експлуатаційному стані.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Постійний моніторинг та своєчасне видалення потенційно небезпечних дерев (перестійного віку і фаутних) із проведенням відновлювальних посадок дерев і чагарників.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Відновлення газонів після будівельних, ремонтних та аварійних робіт з застосуванням сучасних технологій.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Ремонт і оновлення підпірних стінок, лавок, смітників, малих архітектурних форм із впровадженням нових сучасних елементів оздоблення.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Встановлення навісів із лавами на зупинках громадського транспорту, оснащених сміттєзбірниками.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Реконструкція та будівництво пляжів і зон відпочинку на каскаді ставів річки Притварка із дотриманням екологічних норм.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-Аактивне залучення громадськості до заходів з благоустрою через волонтерські ініціативи і інформаційні кампанії.</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комплексної інвентаризації матеріальних і нематеріальних активів у сфері благоустрою.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Регулярний догляд за зеленими насадженнями, озеленення та заміна застарілих елементів благоустрою.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Модернізація та ремонт об’єктів малої архітектури, а також інфраструктури на зупинках громадського транспорту.</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Будівництво і оновлення громадських просторів, з урахуванням потреб усіх вікових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безпеки через видалення аварійних дерев й облаштування територій.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сучасних технологій і матеріалів, що сприяють довговічності і естетичності об’єктів.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Значне підвищення естетичної привабливості міських ландшафтів і громадських просторів.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комфортного та безпечного міського середовища з урахуванням антропогенного навантаження.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туристичної привабливості завдяки покращенню благоустрою маршрутів і зон відпочинку.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Мінімізація ризиків виникнення надзвичайних ситуацій, пов’язаних із аварійними деревами.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Поліпшення екологічної ситуації у міському середовищі за рахунок відновлення і збільшення зелених насаджень.</w:t>
      </w: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Енергозабезпечення та енергозбереження</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стабільне та ефективне забезпечення споживачів паливно-енергетичними ресурсами, значне зниження питомого енергоспоживання в громаді за рахунок впровадження комплексних енергозберігаючих заходів у бюджетній сфері, комунальному господарстві, будівництві та промисловості, а також залучення фінансових ресурсів для модернізації та енергоефективності.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виконання стратегічних документів спрямованих на ефективне використання паливно-енергетичних ресурсів в комунальному господарстві.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Активне впровадження енергоефективних технологій і заходів у бюджетних установах із метою скорочення їх енергоспоживання.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системи енергоменеджменту, впровадження сучасних практик моніторингу та аналізу споживання енергії у бюджетних закладах.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Активне залучення грантових, кредитних і державних коштів, а також міжнародної технічної допомоги для реалізації проєктів з енергозбереження.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співпраці з ОСББ щодо підтримки енергоефективних ініціатив, проведення капітальних ремонтів і модернізації житлового фонду.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та подальше вдосконалення Програми підтримки ОСББ і ЖБК з використанням співфінансування та залучення додаткових джерел фінансування для ремонту та енергоефективної модернізації будинків.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Щомісячний моніторинг енергоспоживання в закладах комунальної форми власності із застосуванням цифрових інструментів контролю.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комплексної програми енергозбереження та енергоефективності Боярської громади на 2026-2028 роки із урахуванням нових державних стандартів та світових практик.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фінансових ресурсів з різних джерел для оновлення комунального майна та модернізації систем тепло- та водопостачання.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інформаційно-освітньої роботи серед населення, ОСББ і підприємств щодо енергоощадних технологій і можливостей отримання фінансової підтримки.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Зменшення споживання первинних енергоресурсів і викидів парникових газів за рахунок комплексної модернізації інфраструктури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ефективності енергоменеджменту у бюджетних установах шляхом впровадження цифрового моніторингу та контролю.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успішних інвестиційних проєктів в енергоефективність, завдяки застосуванню сучасних технологій та залученню грантових і кредитних ресурсів.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спроможності ОСББ до енергозбереження і покращення технічного стану житлового фонду.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загальної енергетичної безпеки та незалежності громади.</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Розбудова й модернізація транспортної інфраструктури</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lastRenderedPageBreak/>
        <w:t>Мета - задоволення потреб населення у якісних і безпечних пасажирських перевезеннях, забезпечення доступності та соціальної захищеності громадян шляхом ефективної організації пільгових перевезень і оптимізації транспортної мережі.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постійної системи моніторингу пасажирських перевезень для контролю якості та безпеки перевезень пасажирів і їх багажу;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оптимізація маршрутної мережі та графіків руху маршрутних таксі на основі обстежень пасажиропотоків і звернень мешканців;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упорядкування договірних відносин із перевізниками з метою забезпечення соціально-пайової участі у розвитку транспортної інфраструктури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і модернізація не менш ніж чотирьох стоянок для маршрутних таксі за рахунок коштів перевізників;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нових маршрутів місцевого значення з урахуванням потреб різних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соціальної складової перевезень, зокрема забезпечення доступності транспортних засобів для осіб з обмеженими фізичними можливостями.</w:t>
      </w:r>
      <w:r>
        <w:rPr>
          <w:rFonts w:ascii="Times New Roman" w:hAnsi="Times New Roman"/>
          <w:b/>
          <w:bCs/>
          <w:color w:val="000000"/>
          <w:szCs w:val="28"/>
        </w:rPr>
        <w:t xml:space="preserve"> </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робочої групи з моніторингу громадського транспорту для оперативного реагування та удосконалення системи перевезень;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перевірка і облаштування зупинок громадського транспорту відповідно до нормативних вимог, з забезпеченням належного освітлення і інформаційних стендів;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впорядкування руху транспортних засобів з урахуванням звернень мешканців і перевізників з метою підвищення ефективності і комфорту перевезень.</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оптимізація вартості проїзду і поліпшення фінансової стабільності міських перевезень;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врегулювання роботи громадського транспорту та покращення якості обслуговування пасажирів;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мережі маршрутів, що відповідають потребам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доступності транспортних послуг для людей з обмеженими фізичними можливостями;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підсилення безпеки та комфорту руху завдяки оновленню інфраструктури.</w:t>
      </w:r>
    </w:p>
    <w:p w:rsidR="007E149F" w:rsidRDefault="007E149F">
      <w:pPr>
        <w:pBdr>
          <w:top w:val="nil"/>
          <w:left w:val="nil"/>
          <w:bottom w:val="nil"/>
          <w:right w:val="nil"/>
          <w:between w:val="nil"/>
        </w:pBdr>
        <w:spacing w:line="240" w:lineRule="auto"/>
        <w:ind w:hanging="2"/>
        <w:jc w:val="both"/>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ascii="Times New Roman" w:hAnsi="Times New Roman"/>
          <w:b/>
          <w:bCs/>
          <w:color w:val="000000"/>
          <w:szCs w:val="28"/>
        </w:rPr>
        <w:t>Управління об’єктами комунальної власності</w:t>
      </w:r>
    </w:p>
    <w:p w:rsidR="007E149F" w:rsidRDefault="00445E8A" w:rsidP="00EB2EDC">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ефективне використання об’єктів комунальної власності на території громади відповідно до чинного законодавства України, з одночасним підвищенням прозорості процесів управління та збільшенням надходжень до бюджету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для ефективного і прозорого використання майна комунальної власності, що сприятиме сталому наповненню дохідної частини бюджету.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рівня інформаційної відкритості та публічності процедур оренди, відчуження та управління комунальним майном.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цифрових систем обліку і моніторингу об’єктів комунальної власності для підвищення контролю та ефективності управління.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своєчасних розрахунків орендарів та добровільного виконання фінансових зобов’язань.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Оптимізація використання нежитлових приміщень через активізацію орендних відносин і диверсифікацію джерел доходів.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Збільшення обсягів надходжень до бюджету за рахунок вдосконалення орендної політики, укладання прозорих та вигідних договорів, залучення нових орендарів.</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Розробка і впровадження цифрових платформ для відкритого доступу громадськості до інформації про комунальне майно і процедури оренди чи відчуження.</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Проведення регулярного аудиту і паспортизації об’єктів комунальної власності.</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Запровадження системи моніторингу та контролю над використанням майна, включно з фінансовою дисципліною орендарів.</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кваліфікації працівників управління комунальної власності щодо сучасних методів управління та регулювання.</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Зростання доходів бюджету громади від ефективного та прозорого управління комунальним майном.</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рівня публічності та довіри громадськості до процесів розпорядження комунальною власністю.</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Зниження рівня прострочених та непрозорих розрахунків орендарів.</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Оптимізований портфель комунального майна з урахуванням містобудівних потреб та економічної доцільності.</w:t>
      </w:r>
    </w:p>
    <w:p w:rsidR="007E149F" w:rsidRDefault="00445E8A">
      <w:pPr>
        <w:numPr>
          <w:ilvl w:val="0"/>
          <w:numId w:val="21"/>
        </w:num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Підвищення ефективності роботи виконавчих органів у сфері управління комунальною власністю.</w:t>
      </w:r>
    </w:p>
    <w:p w:rsidR="007E149F" w:rsidRDefault="007E149F">
      <w:pPr>
        <w:pBdr>
          <w:top w:val="nil"/>
          <w:left w:val="nil"/>
          <w:bottom w:val="nil"/>
          <w:right w:val="nil"/>
          <w:between w:val="nil"/>
        </w:pBdr>
        <w:shd w:val="clear" w:color="auto" w:fill="FFFFFF"/>
        <w:spacing w:line="240" w:lineRule="auto"/>
        <w:ind w:left="0" w:hanging="3"/>
        <w:jc w:val="both"/>
        <w:rPr>
          <w:rFonts w:ascii="Times New Roman" w:hAnsi="Times New Roman"/>
          <w:color w:val="000000"/>
          <w:szCs w:val="28"/>
        </w:rPr>
      </w:pPr>
    </w:p>
    <w:p w:rsidR="007E149F" w:rsidRPr="00EB2EDC"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Соціальний захист населення та сімейна політика</w:t>
      </w:r>
    </w:p>
    <w:p w:rsidR="007E149F" w:rsidRPr="00EB2EDC" w:rsidRDefault="00445E8A" w:rsidP="00EB2EDC">
      <w:pPr>
        <w:pBdr>
          <w:top w:val="nil"/>
          <w:left w:val="nil"/>
          <w:bottom w:val="nil"/>
          <w:right w:val="nil"/>
          <w:between w:val="nil"/>
        </w:pBdr>
        <w:spacing w:line="360" w:lineRule="auto"/>
        <w:ind w:leftChars="0" w:left="0" w:firstLineChars="0" w:firstLine="720"/>
        <w:jc w:val="both"/>
        <w:rPr>
          <w:b/>
          <w:bCs/>
          <w:color w:val="000000" w:themeColor="text1"/>
          <w:szCs w:val="28"/>
        </w:rPr>
      </w:pPr>
      <w:r w:rsidRPr="00EB2EDC">
        <w:rPr>
          <w:b/>
          <w:bCs/>
          <w:color w:val="000000" w:themeColor="text1"/>
          <w:szCs w:val="28"/>
        </w:rPr>
        <w:t>Мета:</w:t>
      </w:r>
      <w:r w:rsidR="00EB2EDC" w:rsidRPr="00EB2EDC">
        <w:rPr>
          <w:b/>
          <w:bCs/>
          <w:color w:val="000000" w:themeColor="text1"/>
          <w:szCs w:val="28"/>
          <w:lang w:val="uk-UA"/>
        </w:rPr>
        <w:t xml:space="preserve"> </w:t>
      </w:r>
      <w:r w:rsidRPr="00EB2EDC">
        <w:rPr>
          <w:color w:val="000000" w:themeColor="text1"/>
          <w:szCs w:val="28"/>
        </w:rPr>
        <w:t>Забезпечення доступності та якості соціальних послуг і соціального захисту для всіх категорій населення, з особливою увагою до вразливих груп, ветеранів, внутрішньо переміщених осіб, осіб з інвалідністю, людей похилого віку та сімей, що перебувають у складних життєвих обставинах. Формування культури підтримки сімейних цінностей і рівних можливостей.</w:t>
      </w:r>
    </w:p>
    <w:p w:rsidR="007E149F" w:rsidRPr="00EB2EDC" w:rsidRDefault="00445E8A" w:rsidP="00EB2EDC">
      <w:pPr>
        <w:pBdr>
          <w:top w:val="nil"/>
          <w:left w:val="nil"/>
          <w:bottom w:val="nil"/>
          <w:right w:val="nil"/>
          <w:between w:val="nil"/>
        </w:pBdr>
        <w:spacing w:line="360" w:lineRule="auto"/>
        <w:ind w:leftChars="0" w:left="3"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Пріоритетні завдання:</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1. Розвиток системи соціальних послуг</w:t>
      </w:r>
    </w:p>
    <w:p w:rsidR="007E149F" w:rsidRPr="00EB2EDC" w:rsidRDefault="00445E8A" w:rsidP="00EB2EDC">
      <w:pPr>
        <w:numPr>
          <w:ilvl w:val="0"/>
          <w:numId w:val="11"/>
        </w:numPr>
        <w:spacing w:line="360" w:lineRule="auto"/>
        <w:ind w:leftChars="0" w:left="3" w:hanging="3"/>
        <w:jc w:val="both"/>
        <w:rPr>
          <w:color w:val="000000" w:themeColor="text1"/>
          <w:szCs w:val="28"/>
        </w:rPr>
      </w:pPr>
      <w:r w:rsidRPr="00EB2EDC">
        <w:rPr>
          <w:color w:val="000000" w:themeColor="text1"/>
          <w:szCs w:val="28"/>
        </w:rPr>
        <w:t>Забезпечення надання якісних і доступних соціальних послуг відповідно до актуальних потреб громади.</w:t>
      </w:r>
    </w:p>
    <w:p w:rsidR="007E149F" w:rsidRPr="00EB2EDC" w:rsidRDefault="00445E8A" w:rsidP="00EB2EDC">
      <w:pPr>
        <w:numPr>
          <w:ilvl w:val="0"/>
          <w:numId w:val="11"/>
        </w:numPr>
        <w:spacing w:line="360" w:lineRule="auto"/>
        <w:ind w:leftChars="0" w:left="3" w:hanging="3"/>
        <w:jc w:val="both"/>
        <w:rPr>
          <w:color w:val="000000" w:themeColor="text1"/>
          <w:szCs w:val="28"/>
        </w:rPr>
      </w:pPr>
      <w:r w:rsidRPr="00EB2EDC">
        <w:rPr>
          <w:color w:val="000000" w:themeColor="text1"/>
          <w:szCs w:val="28"/>
        </w:rPr>
        <w:t>Впровадження цифрових технологій у процес надання соціальних послуг.</w:t>
      </w:r>
    </w:p>
    <w:p w:rsidR="007E149F" w:rsidRPr="00EB2EDC" w:rsidRDefault="00445E8A" w:rsidP="00EB2EDC">
      <w:pPr>
        <w:numPr>
          <w:ilvl w:val="0"/>
          <w:numId w:val="11"/>
        </w:numPr>
        <w:spacing w:line="360" w:lineRule="auto"/>
        <w:ind w:leftChars="0" w:left="3" w:hanging="3"/>
        <w:jc w:val="both"/>
        <w:rPr>
          <w:color w:val="000000" w:themeColor="text1"/>
          <w:szCs w:val="28"/>
        </w:rPr>
      </w:pPr>
      <w:r w:rsidRPr="00EB2EDC">
        <w:rPr>
          <w:color w:val="000000" w:themeColor="text1"/>
          <w:szCs w:val="28"/>
        </w:rPr>
        <w:t>Підвищення професійної компетентності працівників соціальної сфери.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2. Підтримка ветеранів і членів їхніх сімей</w:t>
      </w:r>
    </w:p>
    <w:p w:rsidR="007E149F" w:rsidRPr="00EB2EDC" w:rsidRDefault="00445E8A" w:rsidP="00EB2EDC">
      <w:pPr>
        <w:numPr>
          <w:ilvl w:val="0"/>
          <w:numId w:val="9"/>
        </w:numPr>
        <w:spacing w:line="360" w:lineRule="auto"/>
        <w:ind w:leftChars="0" w:left="3" w:hanging="3"/>
        <w:jc w:val="both"/>
        <w:rPr>
          <w:color w:val="000000" w:themeColor="text1"/>
          <w:szCs w:val="28"/>
        </w:rPr>
      </w:pPr>
      <w:r w:rsidRPr="00EB2EDC">
        <w:rPr>
          <w:color w:val="000000" w:themeColor="text1"/>
          <w:szCs w:val="28"/>
        </w:rPr>
        <w:t>Розвиток ветеранської політики на рівні громади, у тому числі:</w:t>
      </w:r>
    </w:p>
    <w:p w:rsidR="007E149F" w:rsidRPr="00EB2EDC" w:rsidRDefault="00445E8A" w:rsidP="00EB2EDC">
      <w:pPr>
        <w:numPr>
          <w:ilvl w:val="0"/>
          <w:numId w:val="5"/>
        </w:numPr>
        <w:spacing w:line="360" w:lineRule="auto"/>
        <w:ind w:leftChars="0" w:left="3" w:hanging="3"/>
        <w:jc w:val="both"/>
        <w:rPr>
          <w:color w:val="000000" w:themeColor="text1"/>
          <w:szCs w:val="28"/>
        </w:rPr>
      </w:pPr>
      <w:r w:rsidRPr="00EB2EDC">
        <w:rPr>
          <w:color w:val="000000" w:themeColor="text1"/>
          <w:szCs w:val="28"/>
        </w:rPr>
        <w:lastRenderedPageBreak/>
        <w:t>створення ветеранських просторів із залученням ветеранських організацій з метою комплексності та ефективності підтримки ветеранської спільноти;</w:t>
      </w:r>
    </w:p>
    <w:p w:rsidR="007E149F" w:rsidRPr="00EB2EDC" w:rsidRDefault="00445E8A" w:rsidP="00EB2EDC">
      <w:pPr>
        <w:numPr>
          <w:ilvl w:val="0"/>
          <w:numId w:val="5"/>
        </w:numPr>
        <w:spacing w:line="360" w:lineRule="auto"/>
        <w:ind w:leftChars="0" w:left="3" w:hanging="3"/>
        <w:jc w:val="both"/>
        <w:rPr>
          <w:color w:val="000000" w:themeColor="text1"/>
          <w:szCs w:val="28"/>
        </w:rPr>
      </w:pPr>
      <w:r w:rsidRPr="00EB2EDC">
        <w:rPr>
          <w:color w:val="000000" w:themeColor="text1"/>
          <w:szCs w:val="28"/>
        </w:rPr>
        <w:t>реалізація комплексної програми соціальної, психологічної та професійної адаптації ветеранів;</w:t>
      </w:r>
    </w:p>
    <w:p w:rsidR="007E149F" w:rsidRPr="00EB2EDC" w:rsidRDefault="00445E8A" w:rsidP="00EB2EDC">
      <w:pPr>
        <w:numPr>
          <w:ilvl w:val="0"/>
          <w:numId w:val="5"/>
        </w:numPr>
        <w:spacing w:line="360" w:lineRule="auto"/>
        <w:ind w:leftChars="0" w:left="3" w:hanging="3"/>
        <w:jc w:val="both"/>
        <w:rPr>
          <w:color w:val="000000" w:themeColor="text1"/>
          <w:szCs w:val="28"/>
        </w:rPr>
      </w:pPr>
      <w:r w:rsidRPr="00EB2EDC">
        <w:rPr>
          <w:color w:val="000000" w:themeColor="text1"/>
          <w:szCs w:val="28"/>
        </w:rPr>
        <w:t>сприяння працевлаштуванню учасників бойових дій та членів їхніх сімей.</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3. Соціальна інтеграція внутрішньо переміщених осіб</w:t>
      </w:r>
    </w:p>
    <w:p w:rsidR="007E149F" w:rsidRPr="00EB2EDC" w:rsidRDefault="00445E8A" w:rsidP="00EB2EDC">
      <w:pPr>
        <w:numPr>
          <w:ilvl w:val="0"/>
          <w:numId w:val="27"/>
        </w:numPr>
        <w:spacing w:line="360" w:lineRule="auto"/>
        <w:ind w:leftChars="0" w:left="3" w:hanging="3"/>
        <w:jc w:val="both"/>
        <w:rPr>
          <w:color w:val="000000" w:themeColor="text1"/>
          <w:szCs w:val="28"/>
        </w:rPr>
      </w:pPr>
      <w:r w:rsidRPr="00EB2EDC">
        <w:rPr>
          <w:color w:val="000000" w:themeColor="text1"/>
          <w:szCs w:val="28"/>
        </w:rPr>
        <w:t>Надання адресної допомоги та соціального супроводу ВПО.</w:t>
      </w:r>
    </w:p>
    <w:p w:rsidR="007E149F" w:rsidRPr="00EB2EDC" w:rsidRDefault="00445E8A" w:rsidP="00EB2EDC">
      <w:pPr>
        <w:numPr>
          <w:ilvl w:val="0"/>
          <w:numId w:val="27"/>
        </w:numPr>
        <w:spacing w:line="360" w:lineRule="auto"/>
        <w:ind w:leftChars="0" w:left="3" w:hanging="3"/>
        <w:jc w:val="both"/>
        <w:rPr>
          <w:color w:val="000000" w:themeColor="text1"/>
          <w:szCs w:val="28"/>
        </w:rPr>
      </w:pPr>
      <w:r w:rsidRPr="00EB2EDC">
        <w:rPr>
          <w:color w:val="000000" w:themeColor="text1"/>
          <w:szCs w:val="28"/>
        </w:rPr>
        <w:t>Сприяння реалізація адаптаційних і освітніх програм для інтеграції у громаду.</w:t>
      </w:r>
    </w:p>
    <w:p w:rsidR="007E149F" w:rsidRPr="00EB2EDC" w:rsidRDefault="00445E8A" w:rsidP="00EB2EDC">
      <w:pPr>
        <w:numPr>
          <w:ilvl w:val="0"/>
          <w:numId w:val="27"/>
        </w:numPr>
        <w:spacing w:line="360" w:lineRule="auto"/>
        <w:ind w:leftChars="0" w:left="3" w:hanging="3"/>
        <w:jc w:val="both"/>
        <w:rPr>
          <w:color w:val="000000" w:themeColor="text1"/>
          <w:szCs w:val="28"/>
        </w:rPr>
      </w:pPr>
      <w:r w:rsidRPr="00EB2EDC">
        <w:rPr>
          <w:color w:val="000000" w:themeColor="text1"/>
          <w:szCs w:val="28"/>
        </w:rPr>
        <w:t>Підтримка ініціатив ВПО у сфері зайнятості та самоорганізації.</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4. Підтримка ментального здоров’я та профілактика кризових станів</w:t>
      </w:r>
    </w:p>
    <w:p w:rsidR="007E149F" w:rsidRPr="00EB2EDC" w:rsidRDefault="00445E8A" w:rsidP="00EB2EDC">
      <w:pPr>
        <w:numPr>
          <w:ilvl w:val="0"/>
          <w:numId w:val="13"/>
        </w:numPr>
        <w:spacing w:line="360" w:lineRule="auto"/>
        <w:ind w:leftChars="0" w:left="3" w:hanging="3"/>
        <w:jc w:val="both"/>
        <w:rPr>
          <w:color w:val="000000" w:themeColor="text1"/>
          <w:szCs w:val="28"/>
        </w:rPr>
      </w:pPr>
      <w:r w:rsidRPr="00EB2EDC">
        <w:rPr>
          <w:color w:val="000000" w:themeColor="text1"/>
          <w:szCs w:val="28"/>
        </w:rPr>
        <w:t>Реалізація програм із розвитку та підтримки ментального здоров’я населення.</w:t>
      </w:r>
    </w:p>
    <w:p w:rsidR="007E149F" w:rsidRPr="00EB2EDC" w:rsidRDefault="00445E8A" w:rsidP="00EB2EDC">
      <w:pPr>
        <w:numPr>
          <w:ilvl w:val="0"/>
          <w:numId w:val="13"/>
        </w:numPr>
        <w:spacing w:line="360" w:lineRule="auto"/>
        <w:ind w:leftChars="0" w:left="3" w:hanging="3"/>
        <w:jc w:val="both"/>
        <w:rPr>
          <w:color w:val="000000" w:themeColor="text1"/>
          <w:szCs w:val="28"/>
        </w:rPr>
      </w:pPr>
      <w:r w:rsidRPr="00EB2EDC">
        <w:rPr>
          <w:color w:val="000000" w:themeColor="text1"/>
          <w:szCs w:val="28"/>
        </w:rPr>
        <w:t>Проведення профілактичних заходів для запобігання емоційному вигоранню та підвищення психологічної стійкості.</w:t>
      </w:r>
    </w:p>
    <w:p w:rsidR="007E149F" w:rsidRPr="00EB2EDC" w:rsidRDefault="00445E8A" w:rsidP="00EB2EDC">
      <w:pPr>
        <w:numPr>
          <w:ilvl w:val="0"/>
          <w:numId w:val="13"/>
        </w:numPr>
        <w:spacing w:line="360" w:lineRule="auto"/>
        <w:ind w:leftChars="0" w:left="3" w:hanging="3"/>
        <w:jc w:val="both"/>
        <w:rPr>
          <w:color w:val="000000" w:themeColor="text1"/>
          <w:szCs w:val="28"/>
        </w:rPr>
      </w:pPr>
      <w:r w:rsidRPr="00EB2EDC">
        <w:rPr>
          <w:color w:val="000000" w:themeColor="text1"/>
          <w:szCs w:val="28"/>
        </w:rPr>
        <w:t>Залучення фахівців і партнерів до створення мережі психосоціальної підтримки громади.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5. Протидія насильству та забезпечення рівних можливостей</w:t>
      </w:r>
    </w:p>
    <w:p w:rsidR="007E149F" w:rsidRPr="00EB2EDC" w:rsidRDefault="00445E8A" w:rsidP="00EB2EDC">
      <w:pPr>
        <w:numPr>
          <w:ilvl w:val="0"/>
          <w:numId w:val="24"/>
        </w:numPr>
        <w:spacing w:line="360" w:lineRule="auto"/>
        <w:ind w:leftChars="0" w:left="3" w:hanging="3"/>
        <w:jc w:val="both"/>
        <w:rPr>
          <w:color w:val="000000" w:themeColor="text1"/>
          <w:szCs w:val="28"/>
        </w:rPr>
      </w:pPr>
      <w:r w:rsidRPr="00EB2EDC">
        <w:rPr>
          <w:color w:val="000000" w:themeColor="text1"/>
          <w:szCs w:val="28"/>
        </w:rPr>
        <w:t>Забезпечення роботи спеціалізованих служб підтримки постраждалих осіб.</w:t>
      </w:r>
    </w:p>
    <w:p w:rsidR="007E149F" w:rsidRPr="00EB2EDC" w:rsidRDefault="00445E8A" w:rsidP="00EB2EDC">
      <w:pPr>
        <w:numPr>
          <w:ilvl w:val="0"/>
          <w:numId w:val="24"/>
        </w:numPr>
        <w:spacing w:line="360" w:lineRule="auto"/>
        <w:ind w:leftChars="0" w:left="3" w:hanging="3"/>
        <w:jc w:val="both"/>
        <w:rPr>
          <w:color w:val="000000" w:themeColor="text1"/>
          <w:szCs w:val="28"/>
        </w:rPr>
      </w:pPr>
      <w:r w:rsidRPr="00EB2EDC">
        <w:rPr>
          <w:color w:val="000000" w:themeColor="text1"/>
          <w:szCs w:val="28"/>
        </w:rPr>
        <w:t>Проведення тематичних місячників, інформаційних кампаній і просвітницьких заходів із протидії домашньому насильству, торгівлі людьми та дискримінації.</w:t>
      </w:r>
    </w:p>
    <w:p w:rsidR="007E149F" w:rsidRPr="00EB2EDC" w:rsidRDefault="00445E8A" w:rsidP="00EB2EDC">
      <w:pPr>
        <w:numPr>
          <w:ilvl w:val="0"/>
          <w:numId w:val="24"/>
        </w:numPr>
        <w:spacing w:line="360" w:lineRule="auto"/>
        <w:ind w:leftChars="0" w:left="3" w:hanging="3"/>
        <w:jc w:val="both"/>
        <w:rPr>
          <w:color w:val="000000" w:themeColor="text1"/>
          <w:szCs w:val="28"/>
        </w:rPr>
      </w:pPr>
      <w:r w:rsidRPr="00EB2EDC">
        <w:rPr>
          <w:color w:val="000000" w:themeColor="text1"/>
          <w:szCs w:val="28"/>
        </w:rPr>
        <w:t>Сприяння реалізації гендерної рівності у всіх сферах життя громади.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6. Розвиток волонтерства та громадської активності</w:t>
      </w:r>
    </w:p>
    <w:p w:rsidR="007E149F" w:rsidRPr="00EB2EDC" w:rsidRDefault="00445E8A" w:rsidP="00EB2EDC">
      <w:pPr>
        <w:numPr>
          <w:ilvl w:val="0"/>
          <w:numId w:val="28"/>
        </w:numPr>
        <w:spacing w:line="360" w:lineRule="auto"/>
        <w:ind w:leftChars="0" w:left="3" w:hanging="3"/>
        <w:jc w:val="both"/>
        <w:rPr>
          <w:color w:val="000000" w:themeColor="text1"/>
          <w:szCs w:val="28"/>
        </w:rPr>
      </w:pPr>
      <w:r w:rsidRPr="00EB2EDC">
        <w:rPr>
          <w:color w:val="000000" w:themeColor="text1"/>
          <w:szCs w:val="28"/>
        </w:rPr>
        <w:t>Підтримка волонтерських ініціатив і громадських організацій соціального спрямування.</w:t>
      </w:r>
    </w:p>
    <w:p w:rsidR="007E149F" w:rsidRPr="00EB2EDC" w:rsidRDefault="00445E8A" w:rsidP="00EB2EDC">
      <w:pPr>
        <w:numPr>
          <w:ilvl w:val="0"/>
          <w:numId w:val="28"/>
        </w:numPr>
        <w:spacing w:line="360" w:lineRule="auto"/>
        <w:ind w:leftChars="0" w:left="3" w:hanging="3"/>
        <w:jc w:val="both"/>
        <w:rPr>
          <w:color w:val="000000" w:themeColor="text1"/>
          <w:szCs w:val="28"/>
        </w:rPr>
      </w:pPr>
      <w:r w:rsidRPr="00EB2EDC">
        <w:rPr>
          <w:color w:val="000000" w:themeColor="text1"/>
          <w:szCs w:val="28"/>
        </w:rPr>
        <w:t>Сприяння самоорганізації мешканців для допомоги вразливим групам населення.</w:t>
      </w:r>
    </w:p>
    <w:p w:rsidR="007E149F" w:rsidRPr="00EB2EDC" w:rsidRDefault="00445E8A" w:rsidP="00EB2EDC">
      <w:pPr>
        <w:numPr>
          <w:ilvl w:val="0"/>
          <w:numId w:val="28"/>
        </w:numPr>
        <w:spacing w:line="360" w:lineRule="auto"/>
        <w:ind w:leftChars="0" w:left="3" w:hanging="3"/>
        <w:jc w:val="both"/>
        <w:rPr>
          <w:color w:val="000000" w:themeColor="text1"/>
          <w:szCs w:val="28"/>
        </w:rPr>
      </w:pPr>
      <w:r w:rsidRPr="00EB2EDC">
        <w:rPr>
          <w:color w:val="000000" w:themeColor="text1"/>
          <w:szCs w:val="28"/>
        </w:rPr>
        <w:t>Популяризація волонтерства як важливої складової єдності громади.</w:t>
      </w:r>
    </w:p>
    <w:p w:rsidR="007E149F" w:rsidRPr="00EB2EDC" w:rsidRDefault="00445E8A" w:rsidP="00EB2EDC">
      <w:pPr>
        <w:pBdr>
          <w:top w:val="nil"/>
          <w:left w:val="nil"/>
          <w:bottom w:val="nil"/>
          <w:right w:val="nil"/>
          <w:between w:val="nil"/>
        </w:pBdr>
        <w:spacing w:line="360" w:lineRule="auto"/>
        <w:ind w:leftChars="0" w:left="3"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Основні заходи для забезпечення виконання зазначених завдань:</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lastRenderedPageBreak/>
        <w:t>1. Удосконалення системи соціального захисту</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Проведення щорічного аналізу потреб громади у соціальних послугах.</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Підтримка діючих соціальних програм громади та розробка нових — відповідно до реальних потреб населення.</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Розширення форм адресної допомоги — у першу чергу людям з інвалідністю, самотнім пенсіонерам, ВПО, ветеранам.</w:t>
      </w:r>
    </w:p>
    <w:p w:rsidR="007E149F" w:rsidRPr="00EB2EDC" w:rsidRDefault="00445E8A" w:rsidP="00EB2EDC">
      <w:pPr>
        <w:numPr>
          <w:ilvl w:val="0"/>
          <w:numId w:val="29"/>
        </w:numPr>
        <w:spacing w:line="360" w:lineRule="auto"/>
        <w:ind w:leftChars="0" w:left="3" w:hanging="3"/>
        <w:jc w:val="both"/>
        <w:rPr>
          <w:color w:val="000000" w:themeColor="text1"/>
          <w:szCs w:val="28"/>
        </w:rPr>
      </w:pPr>
      <w:r w:rsidRPr="00EB2EDC">
        <w:rPr>
          <w:color w:val="000000" w:themeColor="text1"/>
          <w:szCs w:val="28"/>
        </w:rPr>
        <w:t>Забезпечення роботи фахівців із соціальної роботи за територіальним принципом.</w:t>
      </w:r>
    </w:p>
    <w:p w:rsidR="007E149F" w:rsidRPr="00EB2EDC" w:rsidRDefault="00445E8A" w:rsidP="00EB2EDC">
      <w:pPr>
        <w:spacing w:line="360" w:lineRule="auto"/>
        <w:ind w:leftChars="0" w:left="3" w:hanging="3"/>
        <w:jc w:val="both"/>
        <w:rPr>
          <w:color w:val="000000" w:themeColor="text1"/>
          <w:szCs w:val="28"/>
        </w:rPr>
      </w:pPr>
      <w:r w:rsidRPr="00EB2EDC">
        <w:rPr>
          <w:b/>
          <w:bCs/>
          <w:color w:val="000000" w:themeColor="text1"/>
          <w:szCs w:val="28"/>
        </w:rPr>
        <w:t>2. Цифровізація послуг</w:t>
      </w:r>
    </w:p>
    <w:p w:rsidR="007E149F" w:rsidRPr="00EB2EDC" w:rsidRDefault="00445E8A" w:rsidP="00EB2EDC">
      <w:pPr>
        <w:numPr>
          <w:ilvl w:val="0"/>
          <w:numId w:val="10"/>
        </w:numPr>
        <w:spacing w:line="360" w:lineRule="auto"/>
        <w:ind w:leftChars="0" w:left="3" w:hanging="3"/>
        <w:jc w:val="both"/>
        <w:rPr>
          <w:color w:val="000000" w:themeColor="text1"/>
          <w:szCs w:val="28"/>
        </w:rPr>
      </w:pPr>
      <w:r w:rsidRPr="00EB2EDC">
        <w:rPr>
          <w:color w:val="000000" w:themeColor="text1"/>
          <w:szCs w:val="28"/>
        </w:rPr>
        <w:t>Використання програмного комплексу «Соціальна громада» та  Єдиної Інформаційно-аналітична системи соціальної сфери для оформлення заяв, обліку та звітності.</w:t>
      </w:r>
    </w:p>
    <w:p w:rsidR="007E149F" w:rsidRPr="00EB2EDC" w:rsidRDefault="00445E8A" w:rsidP="00EB2EDC">
      <w:pPr>
        <w:numPr>
          <w:ilvl w:val="0"/>
          <w:numId w:val="10"/>
        </w:numPr>
        <w:spacing w:line="360" w:lineRule="auto"/>
        <w:ind w:leftChars="0" w:left="3" w:hanging="3"/>
        <w:jc w:val="both"/>
        <w:rPr>
          <w:color w:val="000000" w:themeColor="text1"/>
          <w:szCs w:val="28"/>
        </w:rPr>
      </w:pPr>
      <w:r w:rsidRPr="00EB2EDC">
        <w:rPr>
          <w:color w:val="000000" w:themeColor="text1"/>
          <w:szCs w:val="28"/>
        </w:rPr>
        <w:t>Забезпечення електронного документообігу між відділами управління та ЦНАПом.</w:t>
      </w:r>
    </w:p>
    <w:p w:rsidR="007E149F" w:rsidRPr="00EB2EDC" w:rsidRDefault="00445E8A" w:rsidP="00EB2EDC">
      <w:pPr>
        <w:numPr>
          <w:ilvl w:val="0"/>
          <w:numId w:val="10"/>
        </w:numPr>
        <w:spacing w:line="360" w:lineRule="auto"/>
        <w:ind w:leftChars="0" w:left="3" w:hanging="3"/>
        <w:jc w:val="both"/>
        <w:rPr>
          <w:color w:val="000000" w:themeColor="text1"/>
          <w:szCs w:val="28"/>
        </w:rPr>
      </w:pPr>
      <w:r w:rsidRPr="00EB2EDC">
        <w:rPr>
          <w:color w:val="000000" w:themeColor="text1"/>
          <w:szCs w:val="28"/>
        </w:rPr>
        <w:t>Регулярне оновлення інформації про послуги на офіційному сайті громади.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3. Підтримка ветеранів</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Проведення щоквартальних зустрічей ветеранської спільноти з представниками органів місцевого самоврядування.</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Робота сектору ветеранської політики над актуалізацією даних та оцінкою потреб ветеранів.</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Сприяння участі ветеранів у грантових, освітніх програмах і програмах спрямованих на забезпечення економічної самостійності.</w:t>
      </w:r>
    </w:p>
    <w:p w:rsidR="007E149F" w:rsidRPr="00EB2EDC" w:rsidRDefault="00445E8A" w:rsidP="00EB2EDC">
      <w:pPr>
        <w:numPr>
          <w:ilvl w:val="0"/>
          <w:numId w:val="2"/>
        </w:numPr>
        <w:spacing w:line="360" w:lineRule="auto"/>
        <w:ind w:leftChars="0" w:left="3" w:hanging="3"/>
        <w:jc w:val="both"/>
        <w:rPr>
          <w:color w:val="000000" w:themeColor="text1"/>
          <w:szCs w:val="28"/>
        </w:rPr>
      </w:pPr>
      <w:r w:rsidRPr="00EB2EDC">
        <w:rPr>
          <w:color w:val="000000" w:themeColor="text1"/>
          <w:szCs w:val="28"/>
        </w:rPr>
        <w:t>Підтримка діяльності Ради ветеранів, ветеранського простору та Громадських організацій.</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4. Підтримка внутрішньо переміщених осіб</w:t>
      </w:r>
    </w:p>
    <w:p w:rsidR="007E149F" w:rsidRPr="00EB2EDC" w:rsidRDefault="00445E8A" w:rsidP="00EB2EDC">
      <w:pPr>
        <w:numPr>
          <w:ilvl w:val="0"/>
          <w:numId w:val="1"/>
        </w:numPr>
        <w:spacing w:line="360" w:lineRule="auto"/>
        <w:ind w:leftChars="0" w:left="3" w:hanging="3"/>
        <w:jc w:val="both"/>
        <w:rPr>
          <w:color w:val="000000" w:themeColor="text1"/>
          <w:szCs w:val="28"/>
        </w:rPr>
      </w:pPr>
      <w:r w:rsidRPr="00EB2EDC">
        <w:rPr>
          <w:color w:val="000000" w:themeColor="text1"/>
          <w:szCs w:val="28"/>
        </w:rPr>
        <w:t>Надання матеріальної допомоги ВПО у межах місцевої програми.</w:t>
      </w:r>
    </w:p>
    <w:p w:rsidR="007E149F" w:rsidRPr="00EB2EDC" w:rsidRDefault="00445E8A" w:rsidP="00EB2EDC">
      <w:pPr>
        <w:numPr>
          <w:ilvl w:val="0"/>
          <w:numId w:val="1"/>
        </w:numPr>
        <w:spacing w:line="360" w:lineRule="auto"/>
        <w:ind w:leftChars="0" w:left="3" w:hanging="3"/>
        <w:jc w:val="both"/>
        <w:rPr>
          <w:color w:val="000000" w:themeColor="text1"/>
          <w:szCs w:val="28"/>
        </w:rPr>
      </w:pPr>
      <w:r w:rsidRPr="00EB2EDC">
        <w:rPr>
          <w:color w:val="000000" w:themeColor="text1"/>
          <w:szCs w:val="28"/>
        </w:rPr>
        <w:t>Організація консультацій і роз’яснювальної роботи щодо соціальних виплат і житлових питань.</w:t>
      </w:r>
    </w:p>
    <w:p w:rsidR="007E149F" w:rsidRPr="00EB2EDC" w:rsidRDefault="00445E8A" w:rsidP="00EB2EDC">
      <w:pPr>
        <w:numPr>
          <w:ilvl w:val="0"/>
          <w:numId w:val="1"/>
        </w:numPr>
        <w:spacing w:line="360" w:lineRule="auto"/>
        <w:ind w:leftChars="0" w:left="3" w:hanging="3"/>
        <w:jc w:val="both"/>
        <w:rPr>
          <w:color w:val="000000" w:themeColor="text1"/>
          <w:szCs w:val="28"/>
        </w:rPr>
      </w:pPr>
      <w:r w:rsidRPr="00EB2EDC">
        <w:rPr>
          <w:color w:val="000000" w:themeColor="text1"/>
          <w:szCs w:val="28"/>
        </w:rPr>
        <w:t>Проведення заходів з адаптації ВПО у місцеві громади (зустрічі, спільні ініціативи, ярмарки).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lastRenderedPageBreak/>
        <w:t>5. Ментальне здоров’я</w:t>
      </w:r>
    </w:p>
    <w:p w:rsidR="007E149F" w:rsidRPr="00EB2EDC" w:rsidRDefault="00445E8A" w:rsidP="00EB2EDC">
      <w:pPr>
        <w:numPr>
          <w:ilvl w:val="0"/>
          <w:numId w:val="8"/>
        </w:numPr>
        <w:spacing w:line="360" w:lineRule="auto"/>
        <w:ind w:leftChars="0" w:left="3" w:hanging="3"/>
        <w:jc w:val="both"/>
        <w:rPr>
          <w:color w:val="000000" w:themeColor="text1"/>
          <w:szCs w:val="28"/>
        </w:rPr>
      </w:pPr>
      <w:r w:rsidRPr="00EB2EDC">
        <w:rPr>
          <w:color w:val="000000" w:themeColor="text1"/>
          <w:szCs w:val="28"/>
        </w:rPr>
        <w:t>Проведення групових та індивідуальних консультацій з психологами на базі Центру соціальних служб.</w:t>
      </w:r>
    </w:p>
    <w:p w:rsidR="007E149F" w:rsidRPr="00EB2EDC" w:rsidRDefault="00445E8A" w:rsidP="00EB2EDC">
      <w:pPr>
        <w:numPr>
          <w:ilvl w:val="0"/>
          <w:numId w:val="8"/>
        </w:numPr>
        <w:spacing w:line="360" w:lineRule="auto"/>
        <w:ind w:leftChars="0" w:left="3" w:hanging="3"/>
        <w:jc w:val="both"/>
        <w:rPr>
          <w:color w:val="000000" w:themeColor="text1"/>
          <w:szCs w:val="28"/>
        </w:rPr>
      </w:pPr>
      <w:r w:rsidRPr="00EB2EDC">
        <w:rPr>
          <w:color w:val="000000" w:themeColor="text1"/>
          <w:szCs w:val="28"/>
        </w:rPr>
        <w:t>Організація тренінгів для фахівців громади з питань саморегуляції та підтримки клієнтів у кризових станах.</w:t>
      </w:r>
    </w:p>
    <w:p w:rsidR="007E149F" w:rsidRPr="00EB2EDC" w:rsidRDefault="00445E8A" w:rsidP="00EB2EDC">
      <w:pPr>
        <w:numPr>
          <w:ilvl w:val="0"/>
          <w:numId w:val="8"/>
        </w:numPr>
        <w:spacing w:line="360" w:lineRule="auto"/>
        <w:ind w:leftChars="0" w:left="3" w:hanging="3"/>
        <w:jc w:val="both"/>
        <w:rPr>
          <w:color w:val="000000" w:themeColor="text1"/>
          <w:szCs w:val="28"/>
        </w:rPr>
      </w:pPr>
      <w:r w:rsidRPr="00EB2EDC">
        <w:rPr>
          <w:color w:val="000000" w:themeColor="text1"/>
          <w:szCs w:val="28"/>
        </w:rPr>
        <w:t>Проведення інформаційних днів «Про ментальне здоров’я просто».</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6. Протидія насильству та гендерна рівність</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Підтримка роботи міжвідомчої координаційної групи із запобігання та протидії насильству.</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Сприяння проведенню інформаційних кампаній у школах, установах і на рівні громади («16 днів проти насильства», «Громада без насильства»).</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Навчання фахівців громади алгоритмам реагування на випадки насильства.</w:t>
      </w:r>
    </w:p>
    <w:p w:rsidR="007E149F" w:rsidRPr="00EB2EDC" w:rsidRDefault="00445E8A" w:rsidP="00EB2EDC">
      <w:pPr>
        <w:numPr>
          <w:ilvl w:val="0"/>
          <w:numId w:val="26"/>
        </w:numPr>
        <w:spacing w:line="360" w:lineRule="auto"/>
        <w:ind w:leftChars="0" w:left="3" w:hanging="3"/>
        <w:jc w:val="both"/>
        <w:rPr>
          <w:color w:val="000000" w:themeColor="text1"/>
          <w:szCs w:val="28"/>
        </w:rPr>
      </w:pPr>
      <w:r w:rsidRPr="00EB2EDC">
        <w:rPr>
          <w:color w:val="000000" w:themeColor="text1"/>
          <w:szCs w:val="28"/>
        </w:rPr>
        <w:t>Забезпечення взаємодії з поліцією, Центром соцслужб, спеціалізованими службами в сфері протидії домашнього насильства та медичними установами.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7. Волонтерство та громадська активність</w:t>
      </w:r>
    </w:p>
    <w:p w:rsidR="007E149F" w:rsidRPr="00EB2EDC" w:rsidRDefault="00445E8A" w:rsidP="00EB2EDC">
      <w:pPr>
        <w:numPr>
          <w:ilvl w:val="0"/>
          <w:numId w:val="4"/>
        </w:numPr>
        <w:spacing w:line="360" w:lineRule="auto"/>
        <w:ind w:leftChars="0" w:left="3" w:hanging="3"/>
        <w:jc w:val="both"/>
        <w:rPr>
          <w:color w:val="000000" w:themeColor="text1"/>
          <w:szCs w:val="28"/>
        </w:rPr>
      </w:pPr>
      <w:r w:rsidRPr="00EB2EDC">
        <w:rPr>
          <w:color w:val="000000" w:themeColor="text1"/>
          <w:szCs w:val="28"/>
        </w:rPr>
        <w:t>Підтримка волонтерських ініціатив у сфері допомоги ветеранам, ВПО, людям похилого віку.</w:t>
      </w:r>
    </w:p>
    <w:p w:rsidR="007E149F" w:rsidRPr="00EB2EDC" w:rsidRDefault="00445E8A" w:rsidP="00EB2EDC">
      <w:pPr>
        <w:numPr>
          <w:ilvl w:val="0"/>
          <w:numId w:val="4"/>
        </w:numPr>
        <w:spacing w:line="360" w:lineRule="auto"/>
        <w:ind w:leftChars="0" w:left="3" w:hanging="3"/>
        <w:jc w:val="both"/>
        <w:rPr>
          <w:color w:val="000000" w:themeColor="text1"/>
          <w:szCs w:val="28"/>
        </w:rPr>
      </w:pPr>
      <w:r w:rsidRPr="00EB2EDC">
        <w:rPr>
          <w:color w:val="000000" w:themeColor="text1"/>
          <w:szCs w:val="28"/>
        </w:rPr>
        <w:t>Співпраця з громадськими організаціями, благодійними фондами, релігійними громадами.</w:t>
      </w:r>
    </w:p>
    <w:p w:rsidR="007E149F" w:rsidRPr="00EB2EDC" w:rsidRDefault="00445E8A" w:rsidP="00EB2EDC">
      <w:pPr>
        <w:numPr>
          <w:ilvl w:val="0"/>
          <w:numId w:val="4"/>
        </w:numPr>
        <w:spacing w:line="360" w:lineRule="auto"/>
        <w:ind w:leftChars="0" w:left="3" w:hanging="3"/>
        <w:jc w:val="both"/>
        <w:rPr>
          <w:color w:val="000000" w:themeColor="text1"/>
          <w:szCs w:val="28"/>
        </w:rPr>
      </w:pPr>
      <w:r w:rsidRPr="00EB2EDC">
        <w:rPr>
          <w:color w:val="000000" w:themeColor="text1"/>
          <w:szCs w:val="28"/>
        </w:rPr>
        <w:t>Проведення щорічного Дня волонтера громади з відзначенням активних учасників.</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8. Професійний розвиток кадрів</w:t>
      </w:r>
    </w:p>
    <w:p w:rsidR="007E149F" w:rsidRPr="00EB2EDC" w:rsidRDefault="00445E8A" w:rsidP="00EB2EDC">
      <w:pPr>
        <w:numPr>
          <w:ilvl w:val="0"/>
          <w:numId w:val="6"/>
        </w:numPr>
        <w:spacing w:line="360" w:lineRule="auto"/>
        <w:ind w:leftChars="0" w:left="3" w:hanging="3"/>
        <w:jc w:val="both"/>
        <w:rPr>
          <w:color w:val="000000" w:themeColor="text1"/>
          <w:szCs w:val="28"/>
        </w:rPr>
      </w:pPr>
      <w:r w:rsidRPr="00EB2EDC">
        <w:rPr>
          <w:color w:val="000000" w:themeColor="text1"/>
          <w:szCs w:val="28"/>
        </w:rPr>
        <w:t>Регулярне навчання працівників управління (обласні семінари, вебінари Мінсоцполітики).</w:t>
      </w:r>
    </w:p>
    <w:p w:rsidR="007E149F" w:rsidRPr="00EB2EDC" w:rsidRDefault="00445E8A" w:rsidP="00EB2EDC">
      <w:pPr>
        <w:numPr>
          <w:ilvl w:val="0"/>
          <w:numId w:val="6"/>
        </w:numPr>
        <w:spacing w:line="360" w:lineRule="auto"/>
        <w:ind w:leftChars="0" w:left="3" w:hanging="3"/>
        <w:jc w:val="both"/>
        <w:rPr>
          <w:color w:val="000000" w:themeColor="text1"/>
          <w:szCs w:val="28"/>
        </w:rPr>
      </w:pPr>
      <w:r w:rsidRPr="00EB2EDC">
        <w:rPr>
          <w:color w:val="000000" w:themeColor="text1"/>
          <w:szCs w:val="28"/>
        </w:rPr>
        <w:t>Обмін досвідом між громадами Київщини щодо впровадження нових соціальних послуг.</w:t>
      </w:r>
    </w:p>
    <w:p w:rsidR="007E149F" w:rsidRPr="00EB2EDC" w:rsidRDefault="00445E8A" w:rsidP="00EB2EDC">
      <w:pPr>
        <w:numPr>
          <w:ilvl w:val="0"/>
          <w:numId w:val="6"/>
        </w:numPr>
        <w:spacing w:line="360" w:lineRule="auto"/>
        <w:ind w:leftChars="0" w:left="3" w:hanging="3"/>
        <w:jc w:val="both"/>
        <w:rPr>
          <w:color w:val="000000" w:themeColor="text1"/>
          <w:szCs w:val="28"/>
        </w:rPr>
      </w:pPr>
      <w:r w:rsidRPr="00EB2EDC">
        <w:rPr>
          <w:color w:val="000000" w:themeColor="text1"/>
          <w:szCs w:val="28"/>
        </w:rPr>
        <w:t>Внутрішні тренінги щодо сервісності, комунікації та цифрових навичок.</w:t>
      </w:r>
    </w:p>
    <w:p w:rsidR="007E149F" w:rsidRPr="00EB2EDC" w:rsidRDefault="00445E8A" w:rsidP="00EB2EDC">
      <w:pPr>
        <w:pBdr>
          <w:top w:val="nil"/>
          <w:left w:val="nil"/>
          <w:bottom w:val="nil"/>
          <w:right w:val="nil"/>
          <w:between w:val="nil"/>
        </w:pBdr>
        <w:spacing w:line="360" w:lineRule="auto"/>
        <w:ind w:leftChars="0" w:left="3" w:hanging="3"/>
        <w:jc w:val="center"/>
        <w:rPr>
          <w:rFonts w:ascii="Times New Roman" w:hAnsi="Times New Roman"/>
          <w:color w:val="000000" w:themeColor="text1"/>
          <w:szCs w:val="28"/>
        </w:rPr>
      </w:pPr>
      <w:r w:rsidRPr="00EB2EDC">
        <w:rPr>
          <w:rFonts w:ascii="Times New Roman" w:hAnsi="Times New Roman"/>
          <w:b/>
          <w:bCs/>
          <w:color w:val="000000" w:themeColor="text1"/>
          <w:szCs w:val="28"/>
        </w:rPr>
        <w:t>Очікувані результати:</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1. Соціальний захист і послуги</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lastRenderedPageBreak/>
        <w:t>Забезпечено надання якісних і доступних соціальних послуг відповідно до потреб громади.</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Зниження кількості сімей, що перебувають у складних життєвих обставинах, завдяки адресній підтримці та профілактичній роботі.</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Підвищення рівня дотримання соціальних гарантій і прав пільгових категорій населення.</w:t>
      </w:r>
    </w:p>
    <w:p w:rsidR="007E149F" w:rsidRPr="00EB2EDC" w:rsidRDefault="00445E8A" w:rsidP="00EB2EDC">
      <w:pPr>
        <w:numPr>
          <w:ilvl w:val="0"/>
          <w:numId w:val="7"/>
        </w:numPr>
        <w:spacing w:line="360" w:lineRule="auto"/>
        <w:ind w:leftChars="0" w:left="3" w:hanging="3"/>
        <w:jc w:val="both"/>
        <w:rPr>
          <w:color w:val="000000" w:themeColor="text1"/>
          <w:szCs w:val="28"/>
        </w:rPr>
      </w:pPr>
      <w:r w:rsidRPr="00EB2EDC">
        <w:rPr>
          <w:color w:val="000000" w:themeColor="text1"/>
          <w:szCs w:val="28"/>
        </w:rPr>
        <w:t>Цифровізація процесів — перехід на електронний облік, прийом заяв і комунікацію з отримувачами послуг.</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2. Ветерани та члени їхніх сімей</w:t>
      </w:r>
    </w:p>
    <w:p w:rsidR="007E149F" w:rsidRPr="00EB2EDC" w:rsidRDefault="00445E8A" w:rsidP="00EB2EDC">
      <w:pPr>
        <w:numPr>
          <w:ilvl w:val="0"/>
          <w:numId w:val="3"/>
        </w:numPr>
        <w:spacing w:line="360" w:lineRule="auto"/>
        <w:ind w:leftChars="0" w:left="3" w:hanging="3"/>
        <w:jc w:val="both"/>
        <w:rPr>
          <w:color w:val="000000" w:themeColor="text1"/>
          <w:szCs w:val="28"/>
        </w:rPr>
      </w:pPr>
      <w:r w:rsidRPr="00EB2EDC">
        <w:rPr>
          <w:color w:val="000000" w:themeColor="text1"/>
          <w:szCs w:val="28"/>
        </w:rPr>
        <w:t>Забезпечена соціальна, психологічна й професійна адаптація ветеранів.</w:t>
      </w:r>
    </w:p>
    <w:p w:rsidR="007E149F" w:rsidRPr="00EB2EDC" w:rsidRDefault="00445E8A" w:rsidP="00EB2EDC">
      <w:pPr>
        <w:numPr>
          <w:ilvl w:val="0"/>
          <w:numId w:val="3"/>
        </w:numPr>
        <w:spacing w:line="360" w:lineRule="auto"/>
        <w:ind w:leftChars="0" w:left="3" w:hanging="3"/>
        <w:jc w:val="both"/>
        <w:rPr>
          <w:color w:val="000000" w:themeColor="text1"/>
          <w:szCs w:val="28"/>
        </w:rPr>
      </w:pPr>
      <w:r w:rsidRPr="00EB2EDC">
        <w:rPr>
          <w:color w:val="000000" w:themeColor="text1"/>
          <w:szCs w:val="28"/>
        </w:rPr>
        <w:t>Підвищено рівень соціальної захищеності сімей Захисників і Захисниць.</w:t>
      </w:r>
    </w:p>
    <w:p w:rsidR="007E149F" w:rsidRPr="00EB2EDC" w:rsidRDefault="00445E8A" w:rsidP="00EB2EDC">
      <w:pPr>
        <w:numPr>
          <w:ilvl w:val="0"/>
          <w:numId w:val="3"/>
        </w:numPr>
        <w:spacing w:line="360" w:lineRule="auto"/>
        <w:ind w:leftChars="0" w:left="3" w:hanging="3"/>
        <w:jc w:val="both"/>
        <w:rPr>
          <w:color w:val="000000" w:themeColor="text1"/>
          <w:szCs w:val="28"/>
        </w:rPr>
      </w:pPr>
      <w:r w:rsidRPr="00EB2EDC">
        <w:rPr>
          <w:color w:val="000000" w:themeColor="text1"/>
          <w:szCs w:val="28"/>
        </w:rPr>
        <w:t>Зміцнено роль ветеранів у житті громади через залучення до культурних, освітніх та громадських ініціатив.</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3. Внутрішньо переміщені особи</w:t>
      </w:r>
    </w:p>
    <w:p w:rsidR="007E149F" w:rsidRPr="00EB2EDC" w:rsidRDefault="00445E8A" w:rsidP="00EB2EDC">
      <w:pPr>
        <w:numPr>
          <w:ilvl w:val="0"/>
          <w:numId w:val="25"/>
        </w:numPr>
        <w:spacing w:line="360" w:lineRule="auto"/>
        <w:ind w:leftChars="0" w:left="3" w:hanging="3"/>
        <w:jc w:val="both"/>
        <w:rPr>
          <w:color w:val="000000" w:themeColor="text1"/>
          <w:szCs w:val="28"/>
        </w:rPr>
      </w:pPr>
      <w:r w:rsidRPr="00EB2EDC">
        <w:rPr>
          <w:color w:val="000000" w:themeColor="text1"/>
          <w:szCs w:val="28"/>
        </w:rPr>
        <w:t>Підвищено рівень соціальної інтеграції ВПО у життя громади.</w:t>
      </w:r>
    </w:p>
    <w:p w:rsidR="007E149F" w:rsidRPr="00EB2EDC" w:rsidRDefault="00445E8A" w:rsidP="00EB2EDC">
      <w:pPr>
        <w:numPr>
          <w:ilvl w:val="0"/>
          <w:numId w:val="25"/>
        </w:numPr>
        <w:spacing w:line="360" w:lineRule="auto"/>
        <w:ind w:leftChars="0" w:left="3" w:hanging="3"/>
        <w:jc w:val="both"/>
        <w:rPr>
          <w:color w:val="000000" w:themeColor="text1"/>
          <w:szCs w:val="28"/>
        </w:rPr>
      </w:pPr>
      <w:r w:rsidRPr="00EB2EDC">
        <w:rPr>
          <w:color w:val="000000" w:themeColor="text1"/>
          <w:szCs w:val="28"/>
        </w:rPr>
        <w:t>Забезпечено доступ ВПО до соціальних послуг, психологічної допомоги та програм підтримки.</w:t>
      </w:r>
    </w:p>
    <w:p w:rsidR="007E149F" w:rsidRPr="00EB2EDC" w:rsidRDefault="00445E8A" w:rsidP="00EB2EDC">
      <w:pPr>
        <w:numPr>
          <w:ilvl w:val="0"/>
          <w:numId w:val="25"/>
        </w:numPr>
        <w:spacing w:line="360" w:lineRule="auto"/>
        <w:ind w:leftChars="0" w:left="3" w:hanging="3"/>
        <w:jc w:val="both"/>
        <w:rPr>
          <w:color w:val="000000" w:themeColor="text1"/>
          <w:szCs w:val="28"/>
        </w:rPr>
      </w:pPr>
      <w:r w:rsidRPr="00EB2EDC">
        <w:rPr>
          <w:color w:val="000000" w:themeColor="text1"/>
          <w:szCs w:val="28"/>
        </w:rPr>
        <w:t>Поступове зростання частки ВПО, які працевлаштовані або залучені до волонтерських і громадських ініціатив.</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4. Ментальне здоров’я і психосоціальне благополуччя</w:t>
      </w:r>
    </w:p>
    <w:p w:rsidR="007E149F" w:rsidRPr="00EB2EDC" w:rsidRDefault="00445E8A" w:rsidP="00EB2EDC">
      <w:pPr>
        <w:numPr>
          <w:ilvl w:val="0"/>
          <w:numId w:val="22"/>
        </w:numPr>
        <w:spacing w:line="360" w:lineRule="auto"/>
        <w:ind w:leftChars="0" w:left="3" w:hanging="3"/>
        <w:jc w:val="both"/>
        <w:rPr>
          <w:color w:val="000000" w:themeColor="text1"/>
          <w:szCs w:val="28"/>
        </w:rPr>
      </w:pPr>
      <w:r w:rsidRPr="00EB2EDC">
        <w:rPr>
          <w:color w:val="000000" w:themeColor="text1"/>
          <w:szCs w:val="28"/>
        </w:rPr>
        <w:t>Покращення психічного здоров’я мешканців громади через роботу психологів, проведе</w:t>
      </w:r>
      <w:r w:rsidR="00EB2EDC">
        <w:rPr>
          <w:color w:val="000000" w:themeColor="text1"/>
          <w:szCs w:val="28"/>
        </w:rPr>
        <w:t>ння тренінгів і груп підтримки.</w:t>
      </w:r>
    </w:p>
    <w:p w:rsidR="007E149F" w:rsidRPr="00EB2EDC" w:rsidRDefault="00445E8A" w:rsidP="00EB2EDC">
      <w:pPr>
        <w:numPr>
          <w:ilvl w:val="0"/>
          <w:numId w:val="22"/>
        </w:numPr>
        <w:spacing w:line="360" w:lineRule="auto"/>
        <w:ind w:leftChars="0" w:left="3" w:hanging="3"/>
        <w:jc w:val="both"/>
        <w:rPr>
          <w:color w:val="000000" w:themeColor="text1"/>
          <w:szCs w:val="28"/>
        </w:rPr>
      </w:pPr>
      <w:r w:rsidRPr="00EB2EDC">
        <w:rPr>
          <w:color w:val="000000" w:themeColor="text1"/>
          <w:szCs w:val="28"/>
        </w:rPr>
        <w:t>Зниження рівня емоційного виснаження серед працівників соціальної сфери.</w:t>
      </w:r>
    </w:p>
    <w:p w:rsidR="007E149F" w:rsidRPr="00EB2EDC" w:rsidRDefault="00445E8A" w:rsidP="00EB2EDC">
      <w:pPr>
        <w:numPr>
          <w:ilvl w:val="0"/>
          <w:numId w:val="22"/>
        </w:numPr>
        <w:spacing w:line="360" w:lineRule="auto"/>
        <w:ind w:leftChars="0" w:left="3" w:hanging="3"/>
        <w:jc w:val="both"/>
        <w:rPr>
          <w:color w:val="000000" w:themeColor="text1"/>
          <w:szCs w:val="28"/>
        </w:rPr>
      </w:pPr>
      <w:r w:rsidRPr="00EB2EDC">
        <w:rPr>
          <w:color w:val="000000" w:themeColor="text1"/>
          <w:szCs w:val="28"/>
        </w:rPr>
        <w:t>Розвиток мережі партнерств у сфері ментального здоров’я.</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5. Волонтерство та громадська активність</w:t>
      </w:r>
    </w:p>
    <w:p w:rsidR="007E149F" w:rsidRPr="00EB2EDC" w:rsidRDefault="00445E8A" w:rsidP="00EB2EDC">
      <w:pPr>
        <w:numPr>
          <w:ilvl w:val="0"/>
          <w:numId w:val="14"/>
        </w:numPr>
        <w:spacing w:line="360" w:lineRule="auto"/>
        <w:ind w:leftChars="0" w:left="3" w:hanging="3"/>
        <w:jc w:val="both"/>
        <w:rPr>
          <w:color w:val="000000" w:themeColor="text1"/>
          <w:szCs w:val="28"/>
        </w:rPr>
      </w:pPr>
      <w:r w:rsidRPr="00EB2EDC">
        <w:rPr>
          <w:color w:val="000000" w:themeColor="text1"/>
          <w:szCs w:val="28"/>
        </w:rPr>
        <w:t>Підвищення рівня волонтерської активності, створення стабільної системи взаємодії влади та громади.</w:t>
      </w:r>
    </w:p>
    <w:p w:rsidR="007E149F" w:rsidRPr="00EB2EDC" w:rsidRDefault="00445E8A" w:rsidP="00EB2EDC">
      <w:pPr>
        <w:numPr>
          <w:ilvl w:val="0"/>
          <w:numId w:val="14"/>
        </w:numPr>
        <w:spacing w:line="360" w:lineRule="auto"/>
        <w:ind w:leftChars="0" w:left="3" w:hanging="3"/>
        <w:jc w:val="both"/>
        <w:rPr>
          <w:color w:val="000000" w:themeColor="text1"/>
          <w:szCs w:val="28"/>
        </w:rPr>
      </w:pPr>
      <w:r w:rsidRPr="00EB2EDC">
        <w:rPr>
          <w:color w:val="000000" w:themeColor="text1"/>
          <w:szCs w:val="28"/>
        </w:rPr>
        <w:t>Ефективна співпраця органів місцевого самоврядування, громадських і благодійних організацій у реалізації соціальних програм.</w:t>
      </w:r>
    </w:p>
    <w:p w:rsidR="007E149F" w:rsidRPr="00EB2EDC" w:rsidRDefault="00445E8A" w:rsidP="00EB2EDC">
      <w:pPr>
        <w:numPr>
          <w:ilvl w:val="0"/>
          <w:numId w:val="14"/>
        </w:numPr>
        <w:spacing w:line="360" w:lineRule="auto"/>
        <w:ind w:leftChars="0" w:left="3" w:hanging="3"/>
        <w:jc w:val="both"/>
        <w:rPr>
          <w:color w:val="000000" w:themeColor="text1"/>
          <w:szCs w:val="28"/>
        </w:rPr>
      </w:pPr>
      <w:r w:rsidRPr="00EB2EDC">
        <w:rPr>
          <w:color w:val="000000" w:themeColor="text1"/>
          <w:szCs w:val="28"/>
        </w:rPr>
        <w:lastRenderedPageBreak/>
        <w:t>Волонтерство стало важливою складовою системи соціального захисту.</w:t>
      </w:r>
    </w:p>
    <w:p w:rsidR="007E149F" w:rsidRPr="00EB2EDC" w:rsidRDefault="00445E8A" w:rsidP="00EB2EDC">
      <w:pPr>
        <w:spacing w:line="360" w:lineRule="auto"/>
        <w:ind w:leftChars="0" w:left="3" w:hanging="3"/>
        <w:jc w:val="both"/>
        <w:rPr>
          <w:b/>
          <w:bCs/>
          <w:color w:val="000000" w:themeColor="text1"/>
          <w:szCs w:val="28"/>
        </w:rPr>
      </w:pPr>
      <w:r w:rsidRPr="00EB2EDC">
        <w:rPr>
          <w:b/>
          <w:bCs/>
          <w:color w:val="000000" w:themeColor="text1"/>
          <w:szCs w:val="28"/>
        </w:rPr>
        <w:t>6. Протидія насильству та гендерна рівність</w:t>
      </w:r>
    </w:p>
    <w:p w:rsidR="007E149F" w:rsidRPr="00EB2EDC" w:rsidRDefault="00445E8A" w:rsidP="00EB2EDC">
      <w:pPr>
        <w:numPr>
          <w:ilvl w:val="0"/>
          <w:numId w:val="12"/>
        </w:numPr>
        <w:spacing w:line="360" w:lineRule="auto"/>
        <w:ind w:leftChars="0" w:left="3" w:hanging="3"/>
        <w:jc w:val="both"/>
        <w:rPr>
          <w:color w:val="000000" w:themeColor="text1"/>
          <w:szCs w:val="28"/>
        </w:rPr>
      </w:pPr>
      <w:r w:rsidRPr="00EB2EDC">
        <w:rPr>
          <w:color w:val="000000" w:themeColor="text1"/>
          <w:szCs w:val="28"/>
        </w:rPr>
        <w:t>Зменшення кількості випадків домашнього насильства завдяки превентивній роботі та інформуванню населення.</w:t>
      </w:r>
    </w:p>
    <w:p w:rsidR="007E149F" w:rsidRPr="00EB2EDC" w:rsidRDefault="00445E8A" w:rsidP="00EB2EDC">
      <w:pPr>
        <w:numPr>
          <w:ilvl w:val="0"/>
          <w:numId w:val="12"/>
        </w:numPr>
        <w:spacing w:line="360" w:lineRule="auto"/>
        <w:ind w:leftChars="0" w:left="3" w:hanging="3"/>
        <w:jc w:val="both"/>
        <w:rPr>
          <w:color w:val="000000" w:themeColor="text1"/>
          <w:szCs w:val="28"/>
        </w:rPr>
      </w:pPr>
      <w:r w:rsidRPr="00EB2EDC">
        <w:rPr>
          <w:color w:val="000000" w:themeColor="text1"/>
          <w:szCs w:val="28"/>
        </w:rPr>
        <w:t>Підвищення поінформованості громади щодо проблем насильства та торгівлі людьми.</w:t>
      </w:r>
    </w:p>
    <w:p w:rsidR="007E149F" w:rsidRPr="00EB2EDC" w:rsidRDefault="00445E8A" w:rsidP="00EB2EDC">
      <w:pPr>
        <w:numPr>
          <w:ilvl w:val="0"/>
          <w:numId w:val="12"/>
        </w:numPr>
        <w:spacing w:line="360" w:lineRule="auto"/>
        <w:ind w:leftChars="0" w:left="3" w:hanging="3"/>
        <w:jc w:val="both"/>
        <w:rPr>
          <w:color w:val="000000" w:themeColor="text1"/>
          <w:szCs w:val="28"/>
        </w:rPr>
      </w:pPr>
      <w:r w:rsidRPr="00EB2EDC">
        <w:rPr>
          <w:color w:val="000000" w:themeColor="text1"/>
          <w:szCs w:val="28"/>
        </w:rPr>
        <w:t>Забезпечено стабільну роботу спеціалізованих служб підтримки постраждалих.</w:t>
      </w:r>
    </w:p>
    <w:p w:rsidR="007E149F" w:rsidRDefault="007E149F">
      <w:pPr>
        <w:pBdr>
          <w:top w:val="nil"/>
          <w:left w:val="nil"/>
          <w:bottom w:val="nil"/>
          <w:right w:val="nil"/>
          <w:between w:val="nil"/>
        </w:pBdr>
        <w:spacing w:line="240" w:lineRule="auto"/>
        <w:ind w:hanging="2"/>
        <w:jc w:val="both"/>
        <w:rPr>
          <w:rFonts w:ascii="Times New Roman" w:hAnsi="Times New Roman"/>
          <w:color w:val="000000"/>
          <w:sz w:val="24"/>
          <w:szCs w:val="24"/>
          <w:highlight w:val="yellow"/>
        </w:rPr>
      </w:pPr>
    </w:p>
    <w:p w:rsidR="007E149F" w:rsidRDefault="00FA726B">
      <w:pPr>
        <w:pBdr>
          <w:top w:val="nil"/>
          <w:left w:val="nil"/>
          <w:bottom w:val="nil"/>
          <w:right w:val="nil"/>
          <w:between w:val="nil"/>
        </w:pBdr>
        <w:shd w:val="clear" w:color="auto" w:fill="8EAADB"/>
        <w:spacing w:line="360" w:lineRule="auto"/>
        <w:ind w:left="0" w:hanging="3"/>
        <w:jc w:val="center"/>
        <w:rPr>
          <w:rFonts w:ascii="Times New Roman" w:hAnsi="Times New Roman"/>
          <w:color w:val="000000"/>
          <w:szCs w:val="28"/>
        </w:rPr>
      </w:pPr>
      <w:r>
        <w:rPr>
          <w:rFonts w:hint="eastAsia"/>
          <w:b/>
          <w:bCs/>
          <w:szCs w:val="28"/>
          <w:lang w:val="uk-UA"/>
        </w:rPr>
        <w:t>П</w:t>
      </w:r>
      <w:r>
        <w:rPr>
          <w:b/>
          <w:bCs/>
          <w:szCs w:val="28"/>
          <w:lang w:val="uk-UA"/>
        </w:rPr>
        <w:t>ідтримка дітей, з</w:t>
      </w:r>
      <w:r w:rsidR="00445E8A">
        <w:rPr>
          <w:rFonts w:ascii="Times New Roman" w:hAnsi="Times New Roman"/>
          <w:b/>
          <w:bCs/>
          <w:color w:val="000000"/>
          <w:szCs w:val="28"/>
        </w:rPr>
        <w:t>ахист прав дітей</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здійснення комплексного соціального супроводу сімей і дітей, які перебувають у складних життєвих обставинах, відповідно до загальнодержавних та регіональних соціальних програм із акцентом на підтримку сімейних форм виховання та інтеграцію дітей, постраждалих від воєнних дій.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і підтримка умов для утвердження сімейних цінностей, відповідального батьківства та різнобічного розвитку дитини;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 удосконалення системи соціального супроводу прийомних сімей з контролем життєвих умов та гармонійного розвитку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ведення електронного обліку дітей-сиріт, дітей, позбавлених батьківського піклування, та осіб, які бажають їх прийняти на виховання, а також сімей у складних життєвих обставинах;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співпраці з громадськими, благодійними та релігійними організаціями у питаннях подолання бездоглядності і безпритульності;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інформаційних та просвітницьких кампаній з популяризації сімейних форм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соціально-правового захисту, реабілітації, соціалізації безпритульних і бездоглядних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системи консультативно-правової допомоги з правових питань, пов’язаних із захистом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оздоровлення дітей пільгових категорій;</w:t>
      </w:r>
    </w:p>
    <w:p w:rsidR="007E149F" w:rsidRDefault="00445E8A" w:rsidP="00EB2EDC">
      <w:pPr>
        <w:pBdr>
          <w:top w:val="nil"/>
          <w:left w:val="nil"/>
          <w:bottom w:val="nil"/>
          <w:right w:val="nil"/>
          <w:between w:val="nil"/>
        </w:pBdr>
        <w:spacing w:line="360" w:lineRule="auto"/>
        <w:ind w:leftChars="0" w:left="0" w:firstLineChars="0" w:firstLine="720"/>
        <w:jc w:val="center"/>
        <w:rPr>
          <w:rFonts w:ascii="Times New Roman" w:hAnsi="Times New Roman"/>
          <w:color w:val="000000"/>
          <w:szCs w:val="28"/>
        </w:rPr>
      </w:pPr>
      <w:r>
        <w:rPr>
          <w:rFonts w:ascii="Times New Roman" w:hAnsi="Times New Roman"/>
          <w:b/>
          <w:bCs/>
          <w:color w:val="000000"/>
          <w:szCs w:val="28"/>
        </w:rPr>
        <w:lastRenderedPageBreak/>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ведення електронного обліку дітей-сиріт та дітей, позбавлених батьківського піклування, осіб, що бажають взяти їх на виховання; облік дітей, що опинились в складних життєвих обставинах;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співпраці з громадськими, благодійними, релігійними організаціями, що працюють в інтересах дітей з питань подолання бездоглядності та безпритульності;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соціальної реклами щодо влаштування дітей, залишених без батьківського піклування, до сімейних форм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популяризації та розвитку сімейних форм виховання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обстеження умов проживання дітей, сім`ї яких опинилися в складних життєвих обставинах, умов проживання дітей-сиріт, та дітей, позбавлених батьківського піклування, влаштованих в різні форми виховання, а також тих, що прибули з тимчасово окупованих територій;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заходів щодо соціально-правового захисту безпритульних і бездоглядних дітей, їх соціалізації, реабілітації та адаптації в суспільстві;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організація заходів з надання консультативно-правової допомоги з питань забезпечення прав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місячників «Сім`я-не місце для насилля», «Підліток у правовому суспільстві», «Замовчування насилля-теж насилля», «Спів-дія заради дітей», Як зберегти себе під час війн»;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оздоровлення дітей пільгових категорій.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раннє виявлення і комплексний облік сімей та дітей у складних життєвих обставинах;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безпечного, підтримуючого соціального середовища для дітей-сиріт та осіб із їх числа;</w:t>
      </w:r>
    </w:p>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Розвиток молодіжної політики, національно-патріотичного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Мета – реалізація потенціалу молоді, формування у молодого покоління високої патріотичної свідомості, почуття вірності, любові до Батьківщини, турботи про </w:t>
      </w:r>
      <w:r>
        <w:rPr>
          <w:rFonts w:ascii="Times New Roman" w:hAnsi="Times New Roman"/>
          <w:color w:val="000000"/>
          <w:szCs w:val="28"/>
        </w:rPr>
        <w:lastRenderedPageBreak/>
        <w:t>благо свого народу, готовності до виконання громадянського і конституційного обов’язку із захисту національних інтересів, цілісності, незалежності України. Створення умов для самореалізації та розвитку потенціалу молоді в громаді, підвищення рівня її самостійності та конкурентоспроможності, забезпечення активної участі молоді в суспільному житті.</w:t>
      </w:r>
    </w:p>
    <w:p w:rsidR="007E149F" w:rsidRDefault="00445E8A">
      <w:pPr>
        <w:pBdr>
          <w:top w:val="nil"/>
          <w:left w:val="nil"/>
          <w:bottom w:val="nil"/>
          <w:right w:val="nil"/>
          <w:between w:val="nil"/>
        </w:pBdr>
        <w:spacing w:line="24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прав молодих громадян і створення гарантій та соціальної підтримки у сферах освіти, працевлаштування, підприємницької діяльності, з урахуванням особливостей різних груп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Всебічне сприяння духовному, фізичному розвитку молоді, формування громадянської свідомості, патріотизму та активної ролі молоді у державотворенні.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творчого потенціалу молоді, формування морально-правової культури, профілактика негативних явищ.</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Підготовка молодих людей до сучасних викликів ринку праці та подолання соціальної апатії через залучення до соціального, культурного, політичного життя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Утвердження патріотичних цінностей і поваги до історії та культури України.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талановитої молоді, молодіжних об’єднань, органів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Широке залучення молоді до національно-культурного відродження.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сучасної молодіжної інфраструктури.</w:t>
      </w:r>
    </w:p>
    <w:p w:rsidR="007E149F" w:rsidRDefault="00445E8A" w:rsidP="00EB2EDC">
      <w:pPr>
        <w:pBdr>
          <w:top w:val="nil"/>
          <w:left w:val="nil"/>
          <w:bottom w:val="nil"/>
          <w:right w:val="nil"/>
          <w:between w:val="nil"/>
        </w:pBdr>
        <w:spacing w:line="240" w:lineRule="auto"/>
        <w:ind w:leftChars="0" w:left="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Посилення національно-патріотичного виховання через різноманітні форми і методи, підтримка громадських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Фінансова підтримка молодіжних організацій та громадських проєктів через конкурсну основу.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Активізація участі молоді у громадському житті, вдосконалення системи мотивації.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Пропаганда здорового способу життя, профілактика шкідливих звичок і негативних явищ.</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талановитої молоді, стипендії міського голови.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Організація освітніх, тренінгових заходів поза системою формальної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Залучення молоді до вирішення місцевих проблем та управління громадою.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молодіжних центрів.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Ццифровізація комунікації та соціальних сервісів для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безбар’єрного простору і доступності послуг для молоді з інвалідністю.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екологічного виховання та сталого розвитку серед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Зміцнення партнерств із закладами освіти, бізнесом, громадськими та міжнародними організаціями.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ефективності реалізації молодіжної політики, створення сприятливих умов для розвитку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Побудова сильної системи підтримки обдарованих дітей і молоді, розвиток органів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гуманістичних, патріотичних цінностей у молодого покоління.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молоді до культурного відродження і творчості.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можливостей для духовної єдності поколінь, виховання поваги між поколіннями.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професійності працівників молодіжної сфери.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Зростання здорового способу життя серед молоді, зменшення соціальних ризиків.</w:t>
      </w:r>
    </w:p>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Охорона здоров’я</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забезпечення права кожного мешканця громади на доступність якісних медичних послуг з метою профілактики, збереження та відновлення здоров'я, створення сприятливих умов для раціонального використання бюджетних коштів та умов праці для медичного персоналу; продовження реформування медичної галузі для створення системи, орієнтованої на пацієнта, що забезпечує комплексне медичне та стоматологічне обслуговування мешканців всіх вікових груп Боярської міської територіальної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Підтримка сталого функціонування комунальних некомерційних підприємств первинної, вторинної (спеціалізованої) стаціонарної та амбулаторної медичної допомоги.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якості та доступності медичної допомоги у тому числі стоматологічної.</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Збереження здоров’я населення, зниження показників захворюваності й смертності.</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Надання підтримки внутрішньо переміщеним особам, забезпечення висококваліфікованої первинної допомоги, формування мережі амбулаторій та забезпечення декларацій з сімейними лікарями.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потреб медичної служби для організації цивільного захисту під час надання медичної допомоги.</w:t>
      </w:r>
    </w:p>
    <w:p w:rsidR="007E149F" w:rsidRDefault="00445E8A" w:rsidP="00EB2EDC">
      <w:pPr>
        <w:pBdr>
          <w:top w:val="nil"/>
          <w:left w:val="nil"/>
          <w:bottom w:val="nil"/>
          <w:right w:val="nil"/>
          <w:between w:val="nil"/>
        </w:pBdr>
        <w:spacing w:line="360" w:lineRule="auto"/>
        <w:ind w:leftChars="0" w:left="72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Фінансування поточних і капітальних видатків Комунальних підприємств Боярської міської ради «Центр первинної медико-санітарної допомоги», «Лікарня інтенсивного лікування», «Стоматологічна поліклініка».</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Створення комфортних умов для роботи медичного персоналу та пацієнтів.</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Протиепідемічні заходи, забезпечення засобами індивідуального захисту та обладнаннями.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Фінансування пільгового протезування, оновлення матеріально-технічної бази.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Пропаганда здорового способу життя.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якісних медичних, стоматологічних послуг із дотриманням норм безбар’єрності згідно з «Програмою безбар’єрного простору».</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Формування системи доступних послуг сімейної медицини, покращення ранньої діагностики суспільно-значущих захворювань.</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Координація комплексу амбулаторної та спеціалізованої допомоги.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своєчасної вакцинації дитячого та дорослого населення.</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Ефективне утримання та функціонування закладів охорони здоров’я.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Покращення якісного медичного обслуговування та доступності послуг.</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Зниження захворюваності і смертності, покращення показників здоров’я населення.</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Забезпечення медичного захисту в умовах цивільного захисту громади.</w:t>
      </w:r>
    </w:p>
    <w:p w:rsidR="007E149F" w:rsidRDefault="00445E8A">
      <w:pPr>
        <w:numPr>
          <w:ilvl w:val="0"/>
          <w:numId w:val="21"/>
        </w:num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Впровадження сучасних підходів до профілактики та лікування із врахуванням демографічних та соціальних викликів.</w:t>
      </w:r>
    </w:p>
    <w:p w:rsidR="007E149F" w:rsidRDefault="007E149F">
      <w:pPr>
        <w:pBdr>
          <w:top w:val="nil"/>
          <w:left w:val="nil"/>
          <w:bottom w:val="nil"/>
          <w:right w:val="nil"/>
          <w:between w:val="nil"/>
        </w:pBdr>
        <w:shd w:val="clear" w:color="auto" w:fill="FFFFFF"/>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Освіта</w:t>
      </w:r>
    </w:p>
    <w:p w:rsidR="007E149F" w:rsidRDefault="00445E8A" w:rsidP="00EB2EDC">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полягає у створенні умов для надання якісних освітніх послуг, розвитку системи освіти відповідно до потреб мешканців громади; приведення освітніх можливостей у відповідність до сучасних вимог та суспільних потреб; створення сприятливих умов для здобуття освіти мешканцями громади впродовж життя, шляхом інтеграції освітнього простору Боярської міської територіальної громади  до європейського та світового освітнього простору.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 Впровадження</w:t>
      </w:r>
      <w:hyperlink r:id="rId20">
        <w:r>
          <w:rPr>
            <w:rFonts w:ascii="Times New Roman" w:hAnsi="Times New Roman"/>
            <w:color w:val="000000"/>
            <w:szCs w:val="28"/>
          </w:rPr>
          <w:t xml:space="preserve"> Концепції безпеки закладів освіти</w:t>
        </w:r>
      </w:hyperlink>
      <w:r>
        <w:rPr>
          <w:rFonts w:ascii="Times New Roman" w:hAnsi="Times New Roman"/>
          <w:color w:val="000000"/>
          <w:szCs w:val="28"/>
        </w:rPr>
        <w:t>, як комплексного стратегічного бачення з метою створення безпечного освітнього середовища у закладах освіти та організацію в них рівних, належних і безпечних умов здобуття освіти та викладання.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2. Модернізація системи освіти з урахуванням сучасних тенденцій розвитку галузі та місцевих потреб. Удосконалювати зміст освіти відповідно до державних стандартів дошкільної, позашкільної, загальної середньої освіти, впроваджувати сучасні педагогічні технології, сприяти підвищенню якості знань учнів та вихованців.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3. Створення умов для реформування закладів освіти, зокрема формування ефективної мережі закладів освіти, відповідно до демографічної ситуації.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4. Покращення умов для здобуття освіти дітьми з особливими потребами шляхом розширення інклюзивного освітнього середовища, забезпечення якісного функціонування інклюзивно-ресурсного центру.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5. Забезпечення психологічної підтримки учасникам освітнього процесу з метою збереження їх ментального здоров’я, забезпечення психологічної підтримки дитини у становленні її особистості, соціалізації, життєвому самовизначенні.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6. Забезпечення пріоритетності системи пошуку, навчання, виховання і підтримки обдарованих дітей та молоді як важливого чинника формування умов для становлення особистості, збереження і розвитку потенціалу нації через роботу у МАН, участі в олімпіадах, конкурсах, змаганнях,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7. Створення належних умов для розвитку здібностей і обдарувань школярів, задоволення їхніх інтересів, духовних запитів, широке залучення здобувачів освіти до занять у гуртках та секціях позашкільних закладів освіти Боярської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8. Зміцнення навчально-методичної та матеріально-технічної бази закладів освіти, забезпечення закладів освіти сучасними засобами навчання (комп’ютерні класи, ліцензоване програмне забезпечення, обладнання для кабінетів з дисциплін  природничо-математичного циклу) STEM-лабораторії.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9. Цифрова трансформація системи освіти шляхом створенням безпечного електронного освітнього середовища, забезпеченням необхідної цифрової інфраструктури закладів та установ освіти, підвищення рівня цифрової компетентності, а також автоматизація збору і аналізу даних.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10. Удосконалення системи національно-патріотичного виховання молоді шляхом застосування новітніх методик індивідуальної роботи, залучення батьків до виховного процесу, формування ранньої громадянської зрілості.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11. Розвиток співпраці з батьками та громадськістю для підвищення якості освітніх послуг, залучення до прийняття рішень та підтримки освітніх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12. Підтримка екологічної освіти та формування екологічної свідомості серед учнів шляхом впровадження екологічних програм і проектів.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13. Розвиток спортивної інфраструктури та популяризація здорового способу життя серед учнів різного віку.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b/>
          <w:bCs/>
          <w:color w:val="000000"/>
          <w:szCs w:val="28"/>
        </w:rPr>
        <w:t>Заходи для забезпечення виконання зазначених завдань: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 Управління освітою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забезпечення ефективного управління якістю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змісту освіти та державних стандартів освіти потребують зміни підходів до організації освітнього процесу;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активізації робота закладів та установ освіти з розвитку внутрішньої системи забезпечення якості освіти; самоаналізу.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1.2. Кадрове забезпечення. Професійний розвиток педагогічних працівників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якісне кадрове забезпечення освітнього процесу в закладах освіти міської територіальної громади, забезпечення умов для професійного розвитку педагогічних кадрів, підвищення їх компетентності та створення Центру професійного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наявність педагогічних кадрів з відповідною вищою фаховою педагогічною освітою в закладах дошкільної освіти. Забезпечення закладів дошкільної освіти достатньою кількістю музичних керівників, введення посад інструкторів з фізичної культури, керівників гуртків, соціальних педагогів;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статус учителя в суспільстві потребує посиленої уваги до мотивування педагогів та стимулювання їхньої діяльності на місцевому рівні;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провадження інноваційної освітньої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1.3. Безпечне освітнє середовище</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спорудами цивільного захисту закладів освіти, автоматичною системою протипожежного захисту, системою оповіщення,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безпечних та комфортних умов для всебічного розвитку особистості через розширення здоров'язбережувального простору;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профілактика боулінгу (цькування) та своєчасного і правильного реагування на його прояви в освітньому середовищі.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1.4. Безпечне харчування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модернізація харчоблоків за технологічними моделями: «базова кухня», «опорна кухня»;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технологічного обладнання, матеріально- технічної бази харчоблоків відповідно до сучасних вимог та з урахуванням чинного законодавства;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дотримання вимог та забезпечення впровадження системи аналізу небезпечних факторів та контролю в критичних точках (НАССР);</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кадрового потенціалу медичних працівників та працівників харчоблоку;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навчання працівників, пов’язаних із забезпеченням шкільного харчування з питань гігієни персоналу гігієнічних вимог до виробництва та обігу харчових продуктів, у тому числі з питань системи НАССР і програм-передумов;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одноразовим безкоштовним гарячим харчуванням здобувачів освіти 1-4 класів;</w:t>
      </w:r>
    </w:p>
    <w:p w:rsidR="007E149F" w:rsidRDefault="00DF4ED8">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 01.01.202</w:t>
      </w:r>
      <w:r>
        <w:rPr>
          <w:rFonts w:ascii="Times New Roman" w:hAnsi="Times New Roman"/>
          <w:color w:val="000000"/>
          <w:szCs w:val="28"/>
          <w:lang w:val="uk-UA"/>
        </w:rPr>
        <w:t>6</w:t>
      </w:r>
      <w:r w:rsidR="00445E8A">
        <w:rPr>
          <w:rFonts w:ascii="Times New Roman" w:hAnsi="Times New Roman"/>
          <w:color w:val="000000"/>
          <w:szCs w:val="28"/>
        </w:rPr>
        <w:t xml:space="preserve"> забезпечення одноразовим безкоштовним гарячим харчуванням здобувачів освіти 1-11 класів відповідно законодавства.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1.5. Інклюзивна освіта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освітньої безбарєрності  та розширення мережі закладів освіти для надання освітніх послуг дітям з особливими освітніми потребами, зокрема: визначення категорій особливих освітніх потреб (труднощів), ступеня їх прояву та рівня підтримки дітей з особливими освітніми потребами в закладі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безперешкодний доступ до закладів освіти осіб з особливими освітніми потребами та маломобільних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мережі закладів освіти, в яких організовано інклюзивне навчання, потребує створення інклюзивного середовища, обладнання ресурсних і сенсорних  кімнат;</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функціонування інклюзивно-ресурсного центру.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1.6. Дошкільна освіта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стовідсоткове охоплення різними формами дошкільної освіти дітей віком від 3 до 6 (7) років;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реалізація завдань Базового компонента дошкільної освіти, створення сучасного розвивального середовища, що дасть дитині змогу відчути психологічну захищеність, сприятиме розвитку її особистісних якостей, здібностей, допоможе оволодіти різними способами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забезпечення наступності освіти й налагодження тісної співпраці між дитсадком і школою, що набуває особливого значення в умовах освітньої реформи «Нова українська школа».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u w:val="single"/>
        </w:rPr>
        <w:t>1.7. Повна загальна середня освіта</w:t>
      </w:r>
      <w:r>
        <w:rPr>
          <w:rFonts w:ascii="Times New Roman" w:hAnsi="Times New Roman"/>
          <w:color w:val="000000"/>
          <w:szCs w:val="28"/>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та забезпечення реформування системи загальної середньої освіти відповідно до законів України «Про освіту», «Про повну загальну середню освіту» та Концепції «Нова українська школа», переходу на 12-річний термін здобуття середньої освіти  та  організація профільного навчання;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удосконалення мережі закладів освіти міської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допрофільна підготовка та профільне навчання;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-учнівське самоврядування, підтримка реалізації проєктів учнівського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якісного функціонування бібліотечних фондів.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1.8. Професійна орієнтація учнівської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координації та співпраці всіх соціальних інституцій, закладів освіти, організацій, установ та окремих учасників профорієнтаційного процесу в межах міської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застосування сучасних інноваційних технологій у профорієнтаційній роботі;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1.9. Позашкільна освіта. Виховна робота: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збільшення охоплення учнів ЗЗСО позашкільною  освітою;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до гурткової роботи дітей соціально вразливих категорій населення, сприяння їх всебічному розвитку та соціалізації;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організація ціннісно орієнтованого виховного простору.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1.10. Національно-патріотичне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реалізація Стратегії національно-патріотичного виховання дітей та молоді, урізноманітнення форм і методів національно-патріотичного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удосконалення системи виховання відповідальних громадян із патріотичним і гуманістичним світоглядом в рамках дошкільної, шкільної та позашкільної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розширення мережі гуртків національно-патріотичного спрямування.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lastRenderedPageBreak/>
        <w:t>1.11. Підтримка обдарованої  учнівської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для  розширення мережі гуртків дослідницько-експериментального напряму та секцій  Малої академії наук України у ЗЗСО та ЗПО;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пошук та підтримка  обдарованої учнівської молоді, створення умов для її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проведення територіальних етапів тематичних змагань і конкурсів.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1.12. Психологічна служба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закладів освіти фахівцями психологічної служби;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фінансування навчальних  і тренінгових програм і  веб ресурсів, необхідних для ефективної роботи фахівців психологічної служби.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1.13. Цифровізація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безперебійним Інтернетом (PON) закладів освіти ,для оптимізації освітнього процесу  і  роботи в системі ІСУО;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ведення сайтів, поданням звітності, запровадженням електронного меню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1.14. Матеріально-технічне забезпечення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закладів освіти сучасною мультимедійною, комп’ютерною технікою, ресурсне забезпечення дистанційного навчання, оновлення меблів, створення сучасних STEM-лабораторій, обладнання інформаційних центрів;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оснащення сучасним обладнанням навчальних предметних кабінетів і лабораторій;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осучаснення та модернізації ігрові та спортивні майданчики;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матеріально-технічного забезпечення навчальних кабінетів відповідно до Концепції «Нова українська школа»;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облаштування приміщень закладів освіти сучасними системами протипожежної сигналізації та засобами пожежогасіння;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облаштування споруд цивільного захисту(бомбосховищ, укриттів,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1.15. Взаємодія з батьками і громадськістю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регулярних зустрічей, консультацій та навчальних проєктів з батьками;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створення консультаційних та дорадчих органів за участю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опитувань та врахування думки батьків і учнів при розробці програм.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1.16. Екологічна освіта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тематичних курсів з екології;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змагань, екологічних суботників, акцій з озеленення;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навчальних матеріалів з екологічної тематики.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u w:val="single"/>
        </w:rPr>
      </w:pPr>
      <w:r>
        <w:rPr>
          <w:rFonts w:ascii="Times New Roman" w:hAnsi="Times New Roman"/>
          <w:color w:val="000000"/>
          <w:szCs w:val="28"/>
          <w:u w:val="single"/>
        </w:rPr>
        <w:t>1.17. Спортивний розвиток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спортивних майданчиків і обладнання у закладах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змагань, турнірів і спортивних фестивалів;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спортивних клубів і секцій для різних вікових груп.</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Налагодження функціонування цілісної системи освіти, єдиного культурно-освітнього простору для найповнішого комплексного задоволення потреб дітей в освітніх послугах.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реформування та удосконалення мережі закладів освіти, створення навчальних закладів нового типу, в т.ч. з інклюзивною освітою.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якості освіти на всіх рівнях освітньої системи, наближення системи освіти Боярської міської територіальної громади до європейських вимірів та стандартів.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в усіх  закладах освіти  громади безпечного освітнього середовища, яке б сприяло збереженню здоров’я учасників освітнього процесу.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-Сстворення сприятливих умов для навчання дітей з особливими освітніми потребами в закладах загальної середньої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Підготовка вмотивованого керівника і вчителя-фахівця, підвищення професійного рівня педагогічних кадрів, здатних працювати в умовах інноваційних змін.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Удосконалення мережі закладів дошкільної освіти; створення умов для здобуття дошкільної освіти всіма дітьми.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Забезпечення умов для вибору учнями профілю навчання відповідно до їхніх здібностей, інтересів.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Цифровізація освітнього процесу, формування медіа-грамотності та інформаційної культури учасників освітнього процесу, забезпечення рівного доступу дітей та дорослих будь-якого віку й стану здоров’я (зокрема, з тимчасово окупованих територій) до якісної основної або додаткової освіти на дистанційній основі та можливості отримання відповідного документу про освіту державного зразка.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дієвої системи ресурсного забезпечення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розвитку мережі закладів позашкільної освіти.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Приведення структури позашкільної освіти у відповідність до запитів населення, новітніх досягнень науково-технічного прогресу, запитів мешканців міської територіальної громади та стратегічних напрямів розвитку держави.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Забезпечення  матеріально-технічної бази закладів освіти.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Активне залучення батьківської спільноти до освітніх процесів та суспільного життя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екологічної свідомості серед учнівської молоді, формування відповідального ставлення до навколишнього середовища.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фізичного здоров’я учнів через розвиток спортивної інфраструктури і систематичну організацію спортивних заходів.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Посилення соціальної згуртованості через залучення громади до освітніх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загальної якості освіти та формування сталого розвитку громади через освітні інновації.</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 w:val="26"/>
          <w:szCs w:val="26"/>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Культура</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Мета — реалізація першочергових і перспективних заходів, спрямованих на створення належних умов для підвищення рівня розвитку культурної інфраструктури громади відповідно до вимог сьогодення, забезпечення позитивних тенденцій у всіх напрямках культурної сфери. Забезпечення вільного доступу мешканцям громади до участі в культурному житті та заходах. Розкриття </w:t>
      </w:r>
      <w:r>
        <w:rPr>
          <w:rFonts w:ascii="Times New Roman" w:hAnsi="Times New Roman"/>
          <w:color w:val="000000"/>
          <w:szCs w:val="28"/>
        </w:rPr>
        <w:lastRenderedPageBreak/>
        <w:t>потенціалу у розвитку культури громади, як складової частини загальнодержавного культурного процесу на основі збереження самобутності національної і локальної культури, посилення культурної ідентичності, підтримки творчих ініціатив у цифрову епоху та активної інтеграції громади у міжрегіональні й міжнародні культурні процеси.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збереження мережі закладів та установ культури громади, забезпечення належного їх функціонування;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збагачення змісту та вдосконалення форм діяльності закладів культури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якісне забезпечення культурного, інформаційного обслуговування населення та організація дозвілля;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збереження існуючих в громаді мистецьких традицій, їх популяризація та започаткування нових;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підтримка та розвиток творчих колективів та митців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належних умов для реалізації бібліотеками міста своїх соціальних функцій та підвищення їх ролі як центрів культури, науки, освіти та інформації;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забезпечення умов для розвитку доступної та якісної початкової мистецької освіти дітей;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оновлення матеріально-технічної бази закладів культури;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належне вшанування ювілейних, пам’ятних дат, відзначення державних та місцевих свят;</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виявлення, дослідження об'єктів культурної спадщини та підготовка облікової документації для внесення до Переліку об'єктів культурної спадщини;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популяризація культурно-історичного надбань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відродження, збереження та розвиток національних традицій та культурної спадщини українського народу;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збереження української національної пам’яті, консолідація та розвиток історичної свідомості мешканців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гарантій свободи творчості;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підтримка діяльності творчих колективів та митців;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творчої молоді та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участь представництва громади у всеукраїнській та міжнародній діяльності у сфері культури;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перехід бібліотек громади на сучасні інформаційні технології, формування бібліотечних фондів з урахуванням потреб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умов для розвитку доступної та якісної початкової мистецької освіти дітей;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матеріально-технічного стану, фінансового, кадрового, інформаційного забезпечення закладів та установ культури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визначення переліків об’єктів на розроблення облікової документації на об’єкти культурної спадщини національного та місцевого значення;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досліджень та вивчення історичних кладовищ, поховань та меморіалів, проведення археологічних досліджень території Боярської міської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розроблення проектно-кошторисної документації для проведення протиаварійних та ремонтно-реставраційних робіт на пам’ятках культурної спадщини;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сприяння збереженню культурної спадщини через розвиток виставкової та музейної справи;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утвердження української мови в усіх сферах суспільного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впровадження цифрових технологій для збереження культурної спадщини та популяризації культурних цінностей;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розвиток креативної індустрії та інноваційних культурних проектів;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підтримка мультикультурності та міжкультурного діалогу в громаді;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системи моніторингу і аналізу культурного потенціалу громади для оперативного планування розвитку.</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сприяння участі талановитої молоді та обдарованих дітей в конкурсах та фестивалях різного рівня;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проведення традиційних щорічних міських культурно-мистецьких фестивалів і культурних акцій для мешканців та гостей громади спільно з культурними центрами інших міст України;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залучення громадських ініціатив до участі в культурно-мистецьких проектах, активізація фестивального руху;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активізація участі закладів культури, творчих осередків та організацій міста у регіональних, всеукраїнських та міжнародних проектах та програмах;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максимально комфортних умов для відвідувачів бібліотек, підвищення якості надання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комплектування фонду бібліотек новими надбаннями сучасної літератури та періодичними виданнями;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ефективних форм, методів і заходів культурно-дозвільної діяльності з урахуванням місцевих особливостей, традицій, праці та відпочинку;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співпраця та підтримка громадських організацій громади у роботі за проектами, в тому числі з питань розвитку туризму;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поліпшення умов творчої діяльності працівників культури, підвищення рівня їх кваліфікації;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підтримка та розвиток аматорського мистецтва;</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поточних та капітальних ремонтів клубів, закладів культури та бібліотек Боярської міської ради їх матеріально-технічне оснащення;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та розвиток базових елементів культурної інфраструктури, основних культурно-мистецьких закладів та організацій тощо;</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цифровізація архівів, музейних фондів та бібліотечних ресурсів;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залучення інвестицій і грантів на розвиток культурних проєктів і інфраструктури;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реалізація освітніх програм з культурології та мистецтва для різних вікових груп;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проведення міжнародних культурних обмінів і фестивалів;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розвиток туристичного потенціалу через популяризацію культурної спадщини та локальних мистецьких подій.</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забезпечення розвитку та підвищення ефективності функціонування мережі закладів культури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рівня матеріально-технічного забезпечення закладів культури громади та шкіл естетичного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розширення якісного та кількісного складу періодичних видань бібліотек-філій;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покращення якості надання культурних послуг населенню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впровадження нових форм та методів з відзначення державних свят, організації та проведення обрядових, календарних свят, урочистостей зі збереження та популяризації українських народних традицій, звичаїв, обрядів, їх унікальності та самобутності;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створення умов для творчого розвитку особистості;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задоволення культурно-дозвіллєвих та мистецьких потреб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іміджу Боярської міської територіальної громади через систему культурно-мистецьких заходів, творчої діяльності та розширення культурних зв’язків;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позитивного іміджу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створення сучасної цифрової культурної платформи громади;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підвищення рівня культурної активності та залученості різних верств населення;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зростання кількості проектів у сфері креативної економіки;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 посилення культурного іміджу Боярської громади на регіональному та національному рівнях; </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формування стійкої культурної ідентичності, яка поєднує традиції та інновації.</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Фізична культура і спорт</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створення сучасних умов для забезпечення фізичного розвитку населення. Збереження і зміцнення здоров’я, розвиток основних фізичних якостей та рухових здібностей, підвищення рівня фізичної підготовленості мешканців громади. Цілеспрямоване формування мотивації піклування про власне здоров’я, формування навичок організації режиму повсякденної рухової активності, підвищення фізичних і функціональних можливостей організму людини, забезпечення здорового дозвілля, збереження тривалості активного життя дорослого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Поліпшення правових, фінансових, організаційних основ діяльності у сфері фізичної культури і спорту, покращення стану стадіонів, спортивних і площинних споруд.</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різних вікових груп населення до регулярних та повноцінних занять фізичною культурою і спортом за місцем їх проживання, навчання, роботи та у місцях масового відпочинку;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 популяризація здорового способу життя серед населення, підтримка дитячої і молодіжної політики у сфері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здоров’я мешканців громади засобами фізичного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успішного виступу спортсменів громади в обласних, всеукраїнських і міжнародних змаганнях;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спортивних майданчиків у місцях масового відпочинку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велосипедних доріжок;</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розвитку фізичної культури та спорту інвалідів та людей з особливими потребами, спорту ветеранів, забезпечення підготовки та участі у заходах різних рівнів, здійснення заходів заохочення;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умов для стабільного розвитку фізичної культури та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проведення на належному рівні фізкультурно-оздоровчих та спортивно-масових заходів;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перспективних проектів в галузі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матеріально-технічної спортивної бази;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об’єднання зусиль у розвитку фізичної культури і спорту заінтересованих громадських та приватних організацій, широких верств населення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системи дитячо-юнацького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системи формування та підготовки збірних команд різних вікових категорій з різних видів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забезпечення проведення поточних і капітальних ремонтів, реконструкції та будівництва нових сучасних спортивних споруд (фізкультурно-спортивних об’єктів), багатофункціональних спортивних майданчиків для ігрових видів спорту з штучним покриттям, майданчиків з тренажерним обладнанням для загальної фізичної підготовки для потреб масової фізичної культури та спорту вищих досягнень;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удосконалення управління сферою фізичної культури і спорту шляхом створення умов для зростання ролі громадських та приватних організацій фізкультурно-спортивної спрямованості;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поширенню клубної системи у сфері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нормативно-правового, кадрового, матеріально-технічного, фінансового, медичного та інформаційного забезпечення;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нових видів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сучасних технологій та інноваційних методик у фізкультурно-оздоровчій роботі;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спортивного волонтерства та громади, залучення громадян до активної участі у спортивних подіях;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інтеграція спортивних програм у систему освіти та соціальних послуг громади.</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завдань: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продовження роботи з покращення якості навчально-тренувального процесу та фізкультурно-спортивних заходів у громаді;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фізкультурно-оздоровчих та спортивно-масових заходів серед усіх верств населення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пропаганда серед дітей, молоді і дорослого населення громади здорового способу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активізація роботи з залучення у розвиток галузі позабюджетних та інвестиційних ресурсів;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матеріально-технічної бази галузі (будівництво нових та реконструкція існуючих спортивних майданчиків та споруд);</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сприяння матеріально-технічному забезпеченню сфери фізичної культури і спорту через системне оновлення матеріальної бази та залучення інвестицій;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реалізація програм підвищення кваліфікації тренерів, тренерів-викладачів та спортивних фахівців;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оптимізація роботи дитячо-юнацьких спортивних шкіл та спортивних клубів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громадських організацій фізкультурно-спортивного спрямування, федерацій з видів спорту, спортивних клубів;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взаємодія з громадськими організаціями фізкультурно-спортивної спрямованості та іншими суб’єктами сфери фізичної культури і спорту;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призначення стипендій кращим спортсменам громади для мотивації та розвитку;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обмін досвідом зі спортивними делегаціями міст-партнерів;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навчально-тренувальних зборів для спортсменів та збірних команд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участі збірних команд та учасників у змаганнях різних рівнів;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комплексної системи моніторингу та оцінки ефективності програм фізичної культури і спорту.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збереження і зміцнення здоров’я громадян, збільшення тривалості активного життя дорослого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кадрового, матеріально-технічного та фінансового забезпечення галузі;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результативності спортсменів громади на змаганнях усіх рівнів;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та якості спортивних майданчиків на території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стану здоров’я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та розвиток здорового способу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задоволення індивідуальних та суспільних потреб громадян у спортивній та фізкультурній підготовці;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підвищення рівня фізичної культури і фізкультурно-оздоровчої роботи;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ролі спорту як елемента соціальної інтеграції і розвитку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залучення більшої кількості мешканців різного віку до активного та здорового способу життя;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престижу громади через успіхи у спортивній сфері.</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Покращення стану довкілля</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впровадження комплексної державної політики з охорони довкілля, у тому числі на поліпшення якості повітря, водних ресурсів та ґрунтів, розвиток екотуризму, збереження і примноження зелених зон, реалізацію природоохоронних заходів із залученням громадськості й підприємств. Зміцнення екологічної безпеки, адаптації громади до викликів кліматичних змін та забезпеченню сталого розвитку.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Поширення екологічної освіти і популяризації відновлюваних джерел енергії.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інфраструктури для ефективного сортування і компостування відходів.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екотуризму та природоохоронних ініціатив у співпраці з місцевими науковими та природоохоронними установами.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системного моніторингу й контролю стану довкілля за допомогою сучасних технологій.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Підтримку проєктів з відновлення лісів та паркових зон як ключового елементу міського середовища.</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Облаштування компостувальних майданчиків.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відповідних лабораторних досліджень.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Систематичне інформування і залучення громадськості до екологічних ініціатив.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розвитка відновлюваних видів енергії та альтернативних паливних систем.</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Суттєве підвищення екологічної свідомості та активності мешканців.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Помітне покращення екологічного та санітарного стану території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площ зелених насаджень та біорізноманіття.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іміджу Боярської громади як зразкової у сфері екології.</w:t>
      </w: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Попередження правопорушень та безпека  життєдіяльності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Метає підвищення рівня громадської безпеки та громадського порядку в умовах дії воєнного стану та післявоєнного періоду, забезпечення комплексного моніторингу та оперативного реагування на загрози на стратегічних об’єктах громади, місцях масового перебування, об’єктах благоустрою та комунальної сфери. Впровадження сучасних систем відеоспостереження, аварійного оповіщення, а також удосконалення координації діяльності правоохоронних органів і органів місцевого самоврядування. Основна ціль — запобігання злочинності, зменшення травматизму, смертності, підвищення рівня безпеки дорожнього руху та зміцнення громадського порядку.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Вдосконалення системи відеоспостереження з поступовим охопленням усіх стратегічних, соціально значущих та потенційно ризикових об’єктів.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сучасних систем моніторингу, оповіщення та контролю (включно із засобами розпізнавання і зв’язку).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Зміцнення профілактичної роботи через пішохідні патрулі у проблемних зонах, особливо у вечірні та нічні години.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Контроль за дотриманням правил роздрібної торгівлі алкоголем з акцентом на недопущення продажу неповнолітнім.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комплексних навчань і заходів із цивільної безпеки, здійснення протипожежних заходів і забезпечення готовності систем цивільного захисту.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взаємодії між владою, правоохоронними структурами, громадськими організаціями для створення ефективної системи громадського порядку.</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публічного порядку на масових заходах із залученням спеціалістів та вибухотехнічних служб.</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Розширення мережі камер відеоспостереження, оснащення місць відпочинку терміналами екстреного виклику поліції.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патрулювань у місцях відпочинку, біля шкіл, дитсадків, спортивних майданчиків, об’єктів комунальної та державної власності.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інформаційних кампаній із профілактики правопорушень, незаконного вживання алкоголю та наркотиків.</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Зниження кількості правопорушень і підвищення безпеки мешканців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оперативності реагування служб на надзвичайні ситуації.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громадського порядку та збереження життя і здоров’я громадян.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захищеності стратегічних та інфраструктурних об’єктів від потенційних загроз, в тому числі терористичних.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Поліпшення ситуації з дорожнім рухом через зменшення аварійності та покращення дисципліни учасників руху.</w:t>
      </w:r>
    </w:p>
    <w:p w:rsidR="007E149F" w:rsidRDefault="007E149F">
      <w:pPr>
        <w:pBdr>
          <w:top w:val="nil"/>
          <w:left w:val="nil"/>
          <w:bottom w:val="nil"/>
          <w:right w:val="nil"/>
          <w:between w:val="nil"/>
        </w:pBdr>
        <w:spacing w:line="240" w:lineRule="auto"/>
        <w:ind w:left="0" w:hanging="3"/>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Національний спротив</w:t>
      </w:r>
    </w:p>
    <w:p w:rsidR="007E149F" w:rsidRDefault="00445E8A" w:rsidP="0017698D">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 xml:space="preserve">Метою є забезпечення виконання заходів підготовки території Боярської міської територіальної громади до оборони в особливий період. </w:t>
      </w:r>
    </w:p>
    <w:p w:rsidR="007E149F" w:rsidRDefault="00445E8A">
      <w:pPr>
        <w:pBdr>
          <w:top w:val="nil"/>
          <w:left w:val="nil"/>
          <w:bottom w:val="nil"/>
          <w:right w:val="nil"/>
          <w:between w:val="nil"/>
        </w:pBdr>
        <w:shd w:val="clear" w:color="auto" w:fill="FFFFFF"/>
        <w:spacing w:line="360" w:lineRule="auto"/>
        <w:ind w:left="0" w:hanging="3"/>
        <w:jc w:val="center"/>
        <w:rPr>
          <w:rFonts w:ascii="Times New Roman" w:hAnsi="Times New Roman"/>
          <w:color w:val="000000"/>
          <w:szCs w:val="28"/>
        </w:rPr>
      </w:pPr>
      <w:r>
        <w:rPr>
          <w:rFonts w:ascii="Times New Roman" w:hAnsi="Times New Roman"/>
          <w:b/>
          <w:bCs/>
          <w:color w:val="000000"/>
          <w:szCs w:val="28"/>
        </w:rPr>
        <w:t>Комплексні завдання: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-підготовки особового складу добровольчого формування до охорони важливих стратегічних об’єктів і комунікацій, органів державної влади, органів місцевого самоврядування, органів військового управління, охорони та оборони державного кордону;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-матеріально-технічного забезпечення потреб добровольчого формування;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-створення умов для належної підготовки у воєнний час, особового складу підрозділів територіальної оборони, добровольчого формування до виконання завдань за призначенням, шляхом проведення навчань та тренувань з практичного відпрацювання навичок бойової підготовки;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-задоволення продовольчих потреб добровольчого формування та цивільного населення: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-евакуації/вивезення/переміщення цивільного населення із місцевості, де ведуться бойові дії, та небезпечних територій у безпечні місця, зокрема, на оплату транспортних послуг, пально-мастильних матеріалів;</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-облаштування місць розміщення громадян, які у зв’язку з бойовими діями залишили місце проживання/перебування;</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-оплати інших заходів, спрямованих на підтримку цивільного населення в умовах воєнного стану;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-підготовки громадян до національного спротиву у воєнний час;</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обороноздатності та мобілізаційної готовності військових частин, налагодження ефективного співробітництва, військово-патріотичного виховання населення Боярської міської територіальної громади та підготовки його до виконання військового обов'язку.Здійснення заходів по фінансовому, матеріально-технічному забезпеченню військових частин Збройних Сил України, для підтримання боєздатності та ефективного виконання завдань щодо захисту державного суверенітету і  незалежності України.</w:t>
      </w:r>
    </w:p>
    <w:p w:rsidR="007E149F" w:rsidRDefault="00445E8A" w:rsidP="0017698D">
      <w:pPr>
        <w:pBdr>
          <w:top w:val="nil"/>
          <w:left w:val="nil"/>
          <w:bottom w:val="nil"/>
          <w:right w:val="nil"/>
          <w:between w:val="nil"/>
        </w:pBdr>
        <w:shd w:val="clear" w:color="auto" w:fill="FFFFFF"/>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Основними завданнями є комплексне здійснення заходів, визначених у Програмі заходів національного спротиву Боярської міської територіальної громади на 2025 рік.</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-проведення заходів підготовки території Боярської міської територіальної громади до оборони в особливий період;</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-підготовку особового складу добровольчого формування Боярської міської територіальної громади до виконання завдань за призначенням;</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-матеріально-технічне забезпечення заходів підготовки добровольчого формування Боярської міської територіальної громади;</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 xml:space="preserve">-надання шкільних автобусів для евакуації/вивезення/переміщення цивільного населення із місцевості, де ведуться бойові дії, та небезпечних територій у </w:t>
      </w:r>
      <w:r>
        <w:rPr>
          <w:rFonts w:ascii="Times New Roman" w:hAnsi="Times New Roman"/>
          <w:color w:val="000000"/>
          <w:szCs w:val="28"/>
        </w:rPr>
        <w:lastRenderedPageBreak/>
        <w:t>безпечні місця; здійснення оплати транспортних послуг, пально-мастильних матеріалів тощо;</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-використання приміщень закладів/установ освіти, культури та спорту для потреб добровольчого формування територіальної оборони громади, розміщення громадян, які у зв’язку з бойовими діями залишили місце проживання/перебування, інших потреб в умовах воєнного стану;</w:t>
      </w:r>
    </w:p>
    <w:p w:rsidR="007E149F" w:rsidRDefault="00445E8A">
      <w:pPr>
        <w:pBdr>
          <w:top w:val="nil"/>
          <w:left w:val="nil"/>
          <w:bottom w:val="nil"/>
          <w:right w:val="nil"/>
          <w:between w:val="nil"/>
        </w:pBdr>
        <w:shd w:val="clear" w:color="auto" w:fill="FFFFFF"/>
        <w:spacing w:line="360" w:lineRule="auto"/>
        <w:ind w:left="0" w:hanging="3"/>
        <w:jc w:val="both"/>
        <w:rPr>
          <w:rFonts w:ascii="Times New Roman" w:hAnsi="Times New Roman"/>
          <w:color w:val="000000"/>
          <w:szCs w:val="28"/>
        </w:rPr>
      </w:pPr>
      <w:r>
        <w:rPr>
          <w:rFonts w:ascii="Times New Roman" w:hAnsi="Times New Roman"/>
          <w:color w:val="000000"/>
          <w:szCs w:val="28"/>
        </w:rPr>
        <w:t>-підготовку населення до виконання заходів національного спротиву, зокрема формування патріотичної свідомості та стійкої мотивації, набуття ними знань та практичних вмінь, необхідних для захисту України постанова № 1443 від 29.12.2021р. </w:t>
      </w:r>
    </w:p>
    <w:p w:rsidR="007E149F" w:rsidRDefault="007E149F">
      <w:pPr>
        <w:pBdr>
          <w:top w:val="nil"/>
          <w:left w:val="nil"/>
          <w:bottom w:val="nil"/>
          <w:right w:val="nil"/>
          <w:between w:val="nil"/>
        </w:pBdr>
        <w:shd w:val="clear" w:color="auto" w:fill="FFFFFF"/>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Мобілізаційна робота</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Головною метою є організація та проведення призовів і мобілізації громадян України на військову службу та розроблення заходів, спрямованих на військово-патріотичне виховання молоді.</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Цілі та пріоритетні завдання: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оповіщення усіх осіб призовного віку, які підлягають призову на строкову військову службу і військовозобов`язаних, котрі постійно чи тимчасово перебувають на території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явки на призовну дільницю Фастівського районного територіального центру комплектування та соціальної підтримки для призову на строкову військову службу;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своєчасного інформування громадян, які підлягають призову на строкову військову службу та мобілізації до Збройних Сил України;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інформування керівників підприємств, установ, організацій і навчальних закладів, незалежно від їх підпорядкування та форм власності про обов`язок відкликати призовників і працівників з відрядження для забезпечення своєчасного їх прибуття на призовну дільницю;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розроблення заходів спрямованих на військово-патріотичне виховання молоді територіальної громади;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Основні заходи для забезпечення виконання зазначених цілей:</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 проведення спільних заходів патріотичного спрямування призовної молоді Боярської територіальної громади в контексті основних святкових акцій загальнодержавного рівня;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проведення в навчальних закладах «Уроків мужності» за участю військовослужбовців, ветеранів військової служби, учасників бойових дій АТО/ООС;</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сприяння у проведенні в загальноосвітніх навчальних закладах та академічних ліцеях Боярської територіальної громади заходів з патріотичного та фізичного виховання допризовної молоді;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оповіщення усіх осіб призовного віку, які підлягають призову на строкову військову службу і військовозобов`язаних, котрі постійно чи тимчасово перебувають на території Боярської територіальної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явки на призовну дільницю Фастівського районного територіального центру комплектування та соціальної  підтримки для призову на строкову військову службу;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своєчасного інформування громадян, які підлягають призову на строкову військову службу та мобілізації до Збройних Сил України.</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виконання державного завдання щодо призову та мобілізації громадян Боярської територіальної громади на військову службу;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підвищення свідомості призовної молоді Боярської територіальної громади з питання захисту Вітчизни;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збільшення обсягів охоплення призовної молоді громади заходами військово-патріотичного виховання;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 забезпечення надійного функціонування органів місцевого самоврядування.</w:t>
      </w:r>
    </w:p>
    <w:p w:rsidR="007E149F" w:rsidRDefault="007E149F">
      <w:pPr>
        <w:pBdr>
          <w:top w:val="nil"/>
          <w:left w:val="nil"/>
          <w:bottom w:val="nil"/>
          <w:right w:val="nil"/>
          <w:between w:val="nil"/>
        </w:pBdr>
        <w:spacing w:line="240" w:lineRule="auto"/>
        <w:ind w:hanging="2"/>
        <w:rPr>
          <w:rFonts w:ascii="Times New Roman" w:hAnsi="Times New Roman"/>
          <w:color w:val="000000"/>
          <w:sz w:val="24"/>
          <w:szCs w:val="24"/>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 xml:space="preserve">Підвищення прозорості та громадської довіри </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Мета - відкритість та прозорість влади громади для населення, громадських організацій та бізнесу з метою формування довіри, підвищення ефективності управління та залучення громадян до прийняття рішень.</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 w:val="24"/>
          <w:szCs w:val="24"/>
        </w:rPr>
      </w:pPr>
      <w:r>
        <w:rPr>
          <w:rFonts w:ascii="Times New Roman" w:hAnsi="Times New Roman"/>
          <w:b/>
          <w:bCs/>
          <w:color w:val="000000"/>
          <w:szCs w:val="28"/>
        </w:rPr>
        <w:t>Пріоритетні завдання та заходи</w:t>
      </w:r>
      <w:r>
        <w:rPr>
          <w:rFonts w:ascii="Times New Roman" w:hAnsi="Times New Roman"/>
          <w:b/>
          <w:bCs/>
          <w:color w:val="000000"/>
          <w:sz w:val="26"/>
          <w:szCs w:val="26"/>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Підвищення якості адміністративних та управлінських процесів, забезпечення контролю за результативністю діяльності місцевих органів виконавчої влади та місцевого самоврядування з використанням сучасних інформаційних систем.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оперативного та безперешкодного доступу до публічної інформації про діяльність органів місцевого самоврядування через офіційні веб-сайти, портали відкритих даних, інші електронні ресурси.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Розширення каналів комунікації для безпосередньої участі жителів та інститутів громадянського суспільства у процесах підготовки й обговорення проектів рішень, зокрема через е-петиції, громадські консультації, форуми.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цифрової грамотності мешканців та працівників органів влади для більш ефективної взаємодії та використання електронних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комунікації та взаєморозуміння з мешканцями громади через регулярні інформаційні кампанії, відкриті зустрічі, використання соціальних мереж.</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моніторингових механізмів та систем оцінки прозорості і ефективності роботи органів влади, включаючи оприлюднення звітів та індикаторів діяльності.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Підтримка ініціатив громадськості щодо контролю за якістю надання послуг та прозорістю діяльності місцевої влади.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партнерствам з медіа та громадськими організаціями для забезпечення об’єктивного висвітлення діяльності органів влади та інформування населення.</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рівня довіри мешканців до органів місцевого самоврядування через прозорість і відкритість інформації про їхню діяльність.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оперативного доступу громадян, бізнесу та громадських організацій до актуальної та достовірної публічної інформації.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Активізація участі жителів громади у процесах прийняття рішень завдяки впровадженню електронних консультацій, петицій та інших форм зворотного зв’язку.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Покращення комунікації між владою та громадою, що сприяє ефективному реагуванню на потреби населення та підвищенню якості адміністративних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цифрової грамотності населення та підвищення рівня використання електронних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регулярних звітів та моніторинг результативності роботи органів влади, що підсилює підзвітність та відповідальність.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партнерства з медіа та громадськими організаціями для об’єктивного висвітлення діяльності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Формування активної, інформованої та залученої громади, здатної брати участь у розвитку та управлінні територією.</w:t>
      </w:r>
    </w:p>
    <w:p w:rsidR="007E149F" w:rsidRDefault="007E149F">
      <w:pPr>
        <w:pBdr>
          <w:top w:val="nil"/>
          <w:left w:val="nil"/>
          <w:bottom w:val="nil"/>
          <w:right w:val="nil"/>
          <w:between w:val="nil"/>
        </w:pBdr>
        <w:spacing w:line="24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Цифрова трансформація</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t>Метою є забезпечення мешканців громади та суб’єктів господарювання доступом до сучасних цифрових технологій для підвищення якості надання публічних послуг, стимулювання розвитку місцевої економіки, а також покращення умов життя в громаді. Створення ефективної, прозорої та інклюзивної системи управління, що відповідає сучасним вимогам.</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Cs w:val="28"/>
        </w:rPr>
      </w:pPr>
      <w:r>
        <w:rPr>
          <w:rFonts w:ascii="Times New Roman" w:hAnsi="Times New Roman"/>
          <w:b/>
          <w:bCs/>
          <w:color w:val="000000"/>
          <w:szCs w:val="28"/>
        </w:rPr>
        <w:t>Пріоритетні напрями та завдання</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1. Цифрова трансформація управління громадою</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системи електронного документообігу та забезпечення її ефективного функціонування у виконавчих органах громади для підвищення ефективності роботи та скорочення часу на обробку документів.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та забезпечення безперебійного функціонування інформаційно-комунікаційних систем (ІКС), включаючи закупівлю серверного і мережевого обладнання, систем резервного копіювання та кіберзахисту.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безперебійного живлення ІКС виконавчого комітету та критичних цифрових сервісів, зокрема ЦНАП, шляхом впровадження систем резервного енергопостачання (UPS, генератори, акумуляторні комплекси).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Розроблення та впровадження політик інформаційної безпеки, призначення відповідального за ІБ, проведення оцінки ризиків, підготовка планів реагування на кіберінциденти та плану відновлення після збоїв (DRP).</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багатофакторної автентифікації (MFA) для службових облікових записів працівників органів місцевого самоврядування.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Розгортання системи моніторингу подій інформаційної безпеки (SIEM) та системи автоматизації реагування на інциденти (SOAR) для підвищення стійкості інформаційної інфраструктури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Сприяння впровадженню ліцензійного або опенсорсного програмного забезпечення в усіх підрозділах виконавчого комітету та виконавчих органах ради, включно з операційними системами, антивірусним захистом і офісними рішеннями.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відкритого цифрового середовища OpenDesk на базі опенсорсних рішень (Nextcloud, Collabora, OnlyOffice) для організації внутрішньої взаємодії працівників, оптимізації витрат бюджету та підвищення швидкості комунікації і прийняття рішень.</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Інтеграція європейського досвіду у сфері електронного урядування та Smart-City для забезпечення прозорості та цифрової стійкості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Визначення відповідальної особи за відкриті дані у структурі виконавчого комітету, забезпечення систематичного оприлюднення наборів даних на порталі data.gov.ua та офіційному сайті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Вдосконалення системи відеотрансляцій засідань органів місцевого самоврядування (сесій, виконкому, комісій) для забезпечення прозорості роботи та підвищення якості онлайн-трансляцій через модернізацію технічного обладнання та оптимізацію аудіо-відеосигналу.</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2. Цифровізація публічних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Впровадження електронних сервісів для громадян, зокрема е-звернень, е-петицій, е-консультацій, що підвищить рівень залучення мешканців у процеси управління.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Розроблення та запуск офіційного вебсайту ЦНАП Боярської громади з можливістю онлайн-запису, бронювання прийому.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Інтеграція системи онлайн-оплати адміністративних послуг і місцевих податків— для прозорості розрахунків і зручності громадян.</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Розроблення та впровадження кабінету мешканця для надання муніципальних послуг онлайн, у тому числі можливості оплати, перегляду історії звернень та участі у місцевих ініціативах.</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цифрових інструментів у закладах освіти, зокрема впровадження.</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3. Розбудова інфраструктури інформатизації</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облаштування точок доступу Wi-Fi у приміщеннях органів місцевого самоврядування, соціальних закладах, укриттях та ЦНАП для забезпечення безперервного доступу до цифрових сервісів.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Підключення комунальних закладів до широкосмугового Інтернету за технологією xPON зі швидкістю не менше 100 Мбіт/с.</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Відновлення пошкодженої та розбудова нової інфраструктури електронних комунікацій для підвищення стійкості цифрових мереж громади.</w:t>
      </w:r>
    </w:p>
    <w:p w:rsidR="007E149F" w:rsidRDefault="00445E8A">
      <w:pPr>
        <w:pBdr>
          <w:top w:val="nil"/>
          <w:left w:val="nil"/>
          <w:bottom w:val="nil"/>
          <w:right w:val="nil"/>
          <w:between w:val="nil"/>
        </w:pBdr>
        <w:spacing w:line="360" w:lineRule="auto"/>
        <w:ind w:left="0" w:hanging="3"/>
        <w:rPr>
          <w:rFonts w:ascii="Times New Roman" w:hAnsi="Times New Roman"/>
          <w:color w:val="000000"/>
          <w:szCs w:val="28"/>
        </w:rPr>
      </w:pPr>
      <w:r>
        <w:rPr>
          <w:rFonts w:ascii="Times New Roman" w:hAnsi="Times New Roman"/>
          <w:b/>
          <w:bCs/>
          <w:color w:val="000000"/>
          <w:szCs w:val="28"/>
        </w:rPr>
        <w:t>4. Розвиток цифрової економіки, освіти та грамотності</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Розвиток M&amp;I HUB (с. Малютянка, с. Іванків) та МолодьSpace (м. Боярка), як інтегрованих освітньо-технологічних просторів для навчання, розвитку ІТ-компетенцій і підтримки стартапів.</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навчальних курсів для працівників органів місцевого самоврядування з цифрової трансформації, відкритих даних, електронного документообігу та кібергігієни.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Організація освітніх програм для населення у хабах громади та бібліотеках, спрямованих на базові цифрові навички, безпечну роботу в інтернеті, використання е-сервісів та знайомство з технологіями штучного інтелекту.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Створення центрів підтримки підприємництва, бізнес-інкубаторів і коворкінг-зон для розвитку місцевого бізнесу з використанням цифрових технологій.</w:t>
      </w:r>
    </w:p>
    <w:p w:rsidR="004E137F" w:rsidRPr="004E137F" w:rsidRDefault="004E137F" w:rsidP="004E137F">
      <w:pPr>
        <w:pBdr>
          <w:top w:val="nil"/>
          <w:left w:val="nil"/>
          <w:bottom w:val="nil"/>
          <w:right w:val="nil"/>
          <w:between w:val="nil"/>
        </w:pBdr>
        <w:spacing w:line="360" w:lineRule="auto"/>
        <w:ind w:left="0" w:hanging="3"/>
        <w:jc w:val="center"/>
        <w:rPr>
          <w:rFonts w:ascii="Times New Roman" w:hAnsi="Times New Roman"/>
          <w:b/>
          <w:color w:val="000000"/>
          <w:szCs w:val="28"/>
        </w:rPr>
      </w:pPr>
      <w:r w:rsidRPr="004E137F">
        <w:rPr>
          <w:rFonts w:ascii="Times New Roman" w:hAnsi="Times New Roman" w:hint="eastAsia"/>
          <w:b/>
          <w:color w:val="000000"/>
          <w:szCs w:val="28"/>
        </w:rPr>
        <w:t>Очікувані</w:t>
      </w:r>
      <w:r w:rsidRPr="004E137F">
        <w:rPr>
          <w:rFonts w:ascii="Times New Roman" w:hAnsi="Times New Roman"/>
          <w:b/>
          <w:color w:val="000000"/>
          <w:szCs w:val="28"/>
        </w:rPr>
        <w:t xml:space="preserve"> </w:t>
      </w:r>
      <w:r w:rsidRPr="004E137F">
        <w:rPr>
          <w:rFonts w:ascii="Times New Roman" w:hAnsi="Times New Roman" w:hint="eastAsia"/>
          <w:b/>
          <w:color w:val="000000"/>
          <w:szCs w:val="28"/>
        </w:rPr>
        <w:t>результати</w:t>
      </w:r>
      <w:r w:rsidRPr="004E137F">
        <w:rPr>
          <w:rFonts w:ascii="Times New Roman" w:hAnsi="Times New Roman"/>
          <w:b/>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lastRenderedPageBreak/>
        <w:t>•</w:t>
      </w:r>
      <w:r w:rsidRPr="004E137F">
        <w:rPr>
          <w:rFonts w:ascii="Times New Roman" w:hAnsi="Times New Roman"/>
          <w:color w:val="000000"/>
          <w:szCs w:val="28"/>
        </w:rPr>
        <w:t xml:space="preserve"> </w:t>
      </w:r>
      <w:r w:rsidRPr="004E137F">
        <w:rPr>
          <w:rFonts w:ascii="Times New Roman" w:hAnsi="Times New Roman" w:hint="eastAsia"/>
          <w:color w:val="000000"/>
          <w:szCs w:val="28"/>
        </w:rPr>
        <w:t>Забезпечення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надійної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безперервної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ключових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завдяки</w:t>
      </w:r>
      <w:r w:rsidRPr="004E137F">
        <w:rPr>
          <w:rFonts w:ascii="Times New Roman" w:hAnsi="Times New Roman"/>
          <w:color w:val="000000"/>
          <w:szCs w:val="28"/>
        </w:rPr>
        <w:t xml:space="preserve"> </w:t>
      </w:r>
      <w:r w:rsidRPr="004E137F">
        <w:rPr>
          <w:rFonts w:ascii="Times New Roman" w:hAnsi="Times New Roman" w:hint="eastAsia"/>
          <w:color w:val="000000"/>
          <w:szCs w:val="28"/>
        </w:rPr>
        <w:t>встановленню</w:t>
      </w:r>
      <w:r w:rsidRPr="004E137F">
        <w:rPr>
          <w:rFonts w:ascii="Times New Roman" w:hAnsi="Times New Roman"/>
          <w:color w:val="000000"/>
          <w:szCs w:val="28"/>
        </w:rPr>
        <w:t xml:space="preserve"> </w:t>
      </w:r>
      <w:r w:rsidRPr="004E137F">
        <w:rPr>
          <w:rFonts w:ascii="Times New Roman" w:hAnsi="Times New Roman" w:hint="eastAsia"/>
          <w:color w:val="000000"/>
          <w:szCs w:val="28"/>
        </w:rPr>
        <w:t>сучасного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серверного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обладнання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запуску</w:t>
      </w:r>
      <w:r w:rsidRPr="004E137F">
        <w:rPr>
          <w:rFonts w:ascii="Times New Roman" w:hAnsi="Times New Roman"/>
          <w:color w:val="000000"/>
          <w:szCs w:val="28"/>
        </w:rPr>
        <w:t xml:space="preserve"> </w:t>
      </w:r>
      <w:r w:rsidRPr="004E137F">
        <w:rPr>
          <w:rFonts w:ascii="Times New Roman" w:hAnsi="Times New Roman" w:hint="eastAsia"/>
          <w:color w:val="000000"/>
          <w:szCs w:val="28"/>
        </w:rPr>
        <w:t>системи</w:t>
      </w:r>
      <w:r w:rsidRPr="004E137F">
        <w:rPr>
          <w:rFonts w:ascii="Times New Roman" w:hAnsi="Times New Roman"/>
          <w:color w:val="000000"/>
          <w:szCs w:val="28"/>
        </w:rPr>
        <w:t xml:space="preserve"> </w:t>
      </w:r>
      <w:r w:rsidRPr="004E137F">
        <w:rPr>
          <w:rFonts w:ascii="Times New Roman" w:hAnsi="Times New Roman" w:hint="eastAsia"/>
          <w:color w:val="000000"/>
          <w:szCs w:val="28"/>
        </w:rPr>
        <w:t>резервного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копіювання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впровадженню</w:t>
      </w:r>
      <w:r w:rsidRPr="004E137F">
        <w:rPr>
          <w:rFonts w:ascii="Times New Roman" w:hAnsi="Times New Roman"/>
          <w:color w:val="000000"/>
          <w:szCs w:val="28"/>
        </w:rPr>
        <w:t xml:space="preserve"> </w:t>
      </w:r>
      <w:r w:rsidRPr="004E137F">
        <w:rPr>
          <w:rFonts w:ascii="Times New Roman" w:hAnsi="Times New Roman" w:hint="eastAsia"/>
          <w:color w:val="000000"/>
          <w:szCs w:val="28"/>
        </w:rPr>
        <w:t>резервного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енергоживлення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у</w:t>
      </w:r>
      <w:r w:rsidRPr="004E137F">
        <w:rPr>
          <w:rFonts w:ascii="Times New Roman" w:hAnsi="Times New Roman"/>
          <w:color w:val="000000"/>
          <w:szCs w:val="28"/>
        </w:rPr>
        <w:t xml:space="preserve"> </w:t>
      </w:r>
      <w:r w:rsidRPr="004E137F">
        <w:rPr>
          <w:rFonts w:ascii="Times New Roman" w:hAnsi="Times New Roman" w:hint="eastAsia"/>
          <w:color w:val="000000"/>
          <w:szCs w:val="28"/>
        </w:rPr>
        <w:t>критично</w:t>
      </w:r>
      <w:r w:rsidRPr="004E137F">
        <w:rPr>
          <w:rFonts w:ascii="Times New Roman" w:hAnsi="Times New Roman"/>
          <w:color w:val="000000"/>
          <w:szCs w:val="28"/>
        </w:rPr>
        <w:t xml:space="preserve"> </w:t>
      </w:r>
      <w:r w:rsidRPr="004E137F">
        <w:rPr>
          <w:rFonts w:ascii="Times New Roman" w:hAnsi="Times New Roman" w:hint="eastAsia"/>
          <w:color w:val="000000"/>
          <w:szCs w:val="28"/>
        </w:rPr>
        <w:t>важливих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підрозділах</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Підвищення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рівня</w:t>
      </w:r>
      <w:r w:rsidRPr="004E137F">
        <w:rPr>
          <w:rFonts w:ascii="Times New Roman" w:hAnsi="Times New Roman"/>
          <w:color w:val="000000"/>
          <w:szCs w:val="28"/>
        </w:rPr>
        <w:t xml:space="preserve"> </w:t>
      </w:r>
      <w:r w:rsidRPr="004E137F">
        <w:rPr>
          <w:rFonts w:ascii="Times New Roman" w:hAnsi="Times New Roman" w:hint="eastAsia"/>
          <w:color w:val="000000"/>
          <w:szCs w:val="28"/>
        </w:rPr>
        <w:t>кіберстійкості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органів</w:t>
      </w:r>
      <w:r w:rsidRPr="004E137F">
        <w:rPr>
          <w:rFonts w:ascii="Times New Roman" w:hAnsi="Times New Roman"/>
          <w:color w:val="000000"/>
          <w:szCs w:val="28"/>
        </w:rPr>
        <w:t xml:space="preserve"> </w:t>
      </w:r>
      <w:r w:rsidRPr="004E137F">
        <w:rPr>
          <w:rFonts w:ascii="Times New Roman" w:hAnsi="Times New Roman" w:hint="eastAsia"/>
          <w:color w:val="000000"/>
          <w:szCs w:val="28"/>
        </w:rPr>
        <w:t>місцевого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самоврядування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через</w:t>
      </w:r>
      <w:r w:rsidRPr="004E137F">
        <w:rPr>
          <w:rFonts w:ascii="Times New Roman" w:hAnsi="Times New Roman"/>
          <w:color w:val="000000"/>
          <w:szCs w:val="28"/>
        </w:rPr>
        <w:t xml:space="preserve"> </w:t>
      </w:r>
      <w:r w:rsidRPr="004E137F">
        <w:rPr>
          <w:rFonts w:ascii="Times New Roman" w:hAnsi="Times New Roman" w:hint="eastAsia"/>
          <w:color w:val="000000"/>
          <w:szCs w:val="28"/>
        </w:rPr>
        <w:t>затвердження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політик</w:t>
      </w:r>
      <w:r w:rsidRPr="004E137F">
        <w:rPr>
          <w:rFonts w:ascii="Times New Roman" w:hAnsi="Times New Roman"/>
          <w:color w:val="000000"/>
          <w:szCs w:val="28"/>
        </w:rPr>
        <w:t xml:space="preserve"> </w:t>
      </w:r>
      <w:r w:rsidRPr="004E137F">
        <w:rPr>
          <w:rFonts w:ascii="Times New Roman" w:hAnsi="Times New Roman" w:hint="eastAsia"/>
          <w:color w:val="000000"/>
          <w:szCs w:val="28"/>
        </w:rPr>
        <w:t>інформаційної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безпеки</w:t>
      </w:r>
      <w:r w:rsidRPr="004E137F">
        <w:rPr>
          <w:rFonts w:ascii="Times New Roman" w:hAnsi="Times New Roman"/>
          <w:color w:val="000000"/>
          <w:szCs w:val="28"/>
        </w:rPr>
        <w:t xml:space="preserve">, </w:t>
      </w:r>
      <w:r w:rsidRPr="004E137F">
        <w:rPr>
          <w:rFonts w:ascii="Times New Roman" w:hAnsi="Times New Roman" w:hint="eastAsia"/>
          <w:color w:val="000000"/>
          <w:szCs w:val="28"/>
        </w:rPr>
        <w:t>плану</w:t>
      </w:r>
      <w:r w:rsidRPr="004E137F">
        <w:rPr>
          <w:rFonts w:ascii="Times New Roman" w:hAnsi="Times New Roman"/>
          <w:color w:val="000000"/>
          <w:szCs w:val="28"/>
        </w:rPr>
        <w:t xml:space="preserve"> </w:t>
      </w:r>
      <w:r w:rsidRPr="004E137F">
        <w:rPr>
          <w:rFonts w:ascii="Times New Roman" w:hAnsi="Times New Roman" w:hint="eastAsia"/>
          <w:color w:val="000000"/>
          <w:szCs w:val="28"/>
        </w:rPr>
        <w:t>реагування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проведення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оцінки</w:t>
      </w:r>
      <w:r w:rsidRPr="004E137F">
        <w:rPr>
          <w:rFonts w:ascii="Times New Roman" w:hAnsi="Times New Roman"/>
          <w:color w:val="000000"/>
          <w:szCs w:val="28"/>
        </w:rPr>
        <w:t xml:space="preserve"> </w:t>
      </w:r>
      <w:r w:rsidRPr="004E137F">
        <w:rPr>
          <w:rFonts w:ascii="Times New Roman" w:hAnsi="Times New Roman" w:hint="eastAsia"/>
          <w:color w:val="000000"/>
          <w:szCs w:val="28"/>
        </w:rPr>
        <w:t>ризиків</w:t>
      </w:r>
      <w:r w:rsidRPr="004E137F">
        <w:rPr>
          <w:rFonts w:ascii="Times New Roman" w:hAnsi="Times New Roman"/>
          <w:color w:val="000000"/>
          <w:szCs w:val="28"/>
        </w:rPr>
        <w:t xml:space="preserve">, </w:t>
      </w:r>
      <w:r w:rsidRPr="004E137F">
        <w:rPr>
          <w:rFonts w:ascii="Times New Roman" w:hAnsi="Times New Roman" w:hint="eastAsia"/>
          <w:color w:val="000000"/>
          <w:szCs w:val="28"/>
        </w:rPr>
        <w:t>впровадження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плану</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відновлення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багатофакторної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автентифікації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систем</w:t>
      </w:r>
      <w:r w:rsidRPr="004E137F">
        <w:rPr>
          <w:rFonts w:ascii="Times New Roman" w:hAnsi="Times New Roman"/>
          <w:color w:val="000000"/>
          <w:szCs w:val="28"/>
        </w:rPr>
        <w:t xml:space="preserve"> </w:t>
      </w:r>
      <w:r w:rsidRPr="004E137F">
        <w:rPr>
          <w:rFonts w:ascii="Times New Roman" w:hAnsi="Times New Roman" w:hint="eastAsia"/>
          <w:color w:val="000000"/>
          <w:szCs w:val="28"/>
        </w:rPr>
        <w:t>моніторингу</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реагування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на</w:t>
      </w:r>
      <w:r w:rsidRPr="004E137F">
        <w:rPr>
          <w:rFonts w:ascii="Times New Roman" w:hAnsi="Times New Roman"/>
          <w:color w:val="000000"/>
          <w:szCs w:val="28"/>
        </w:rPr>
        <w:t xml:space="preserve"> </w:t>
      </w:r>
      <w:r w:rsidRPr="004E137F">
        <w:rPr>
          <w:rFonts w:ascii="Times New Roman" w:hAnsi="Times New Roman" w:hint="eastAsia"/>
          <w:color w:val="000000"/>
          <w:szCs w:val="28"/>
        </w:rPr>
        <w:t>події</w:t>
      </w:r>
      <w:r w:rsidRPr="004E137F">
        <w:rPr>
          <w:rFonts w:ascii="Times New Roman" w:hAnsi="Times New Roman"/>
          <w:color w:val="000000"/>
          <w:szCs w:val="28"/>
        </w:rPr>
        <w:t xml:space="preserve"> </w:t>
      </w:r>
      <w:r w:rsidRPr="004E137F">
        <w:rPr>
          <w:rFonts w:ascii="Times New Roman" w:hAnsi="Times New Roman" w:hint="eastAsia"/>
          <w:color w:val="000000"/>
          <w:szCs w:val="28"/>
        </w:rPr>
        <w:t>безпеки</w:t>
      </w:r>
      <w:r w:rsidRPr="004E137F">
        <w:rPr>
          <w:rFonts w:ascii="Times New Roman" w:hAnsi="Times New Roman"/>
          <w:color w:val="000000"/>
          <w:szCs w:val="28"/>
        </w:rPr>
        <w:t xml:space="preserve"> (SIEM/SOAR).</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Зменшення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кількості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технічних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інцидентів</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пришвидшення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працівників</w:t>
      </w:r>
      <w:r w:rsidRPr="004E137F">
        <w:rPr>
          <w:rFonts w:ascii="Times New Roman" w:hAnsi="Times New Roman"/>
          <w:color w:val="000000"/>
          <w:szCs w:val="28"/>
        </w:rPr>
        <w:t xml:space="preserve">, </w:t>
      </w:r>
      <w:r w:rsidRPr="004E137F">
        <w:rPr>
          <w:rFonts w:ascii="Times New Roman" w:hAnsi="Times New Roman" w:hint="eastAsia"/>
          <w:color w:val="000000"/>
          <w:szCs w:val="28"/>
        </w:rPr>
        <w:t>зокрема</w:t>
      </w:r>
      <w:r w:rsidRPr="004E137F">
        <w:rPr>
          <w:rFonts w:ascii="Times New Roman" w:hAnsi="Times New Roman"/>
          <w:color w:val="000000"/>
          <w:szCs w:val="28"/>
        </w:rPr>
        <w:t xml:space="preserve"> </w:t>
      </w:r>
      <w:r w:rsidRPr="004E137F">
        <w:rPr>
          <w:rFonts w:ascii="Times New Roman" w:hAnsi="Times New Roman" w:hint="eastAsia"/>
          <w:color w:val="000000"/>
          <w:szCs w:val="28"/>
        </w:rPr>
        <w:t>завдяки</w:t>
      </w:r>
      <w:r w:rsidRPr="004E137F">
        <w:rPr>
          <w:rFonts w:ascii="Times New Roman" w:hAnsi="Times New Roman"/>
          <w:color w:val="000000"/>
          <w:szCs w:val="28"/>
        </w:rPr>
        <w:t xml:space="preserve"> </w:t>
      </w:r>
      <w:r w:rsidRPr="004E137F">
        <w:rPr>
          <w:rFonts w:ascii="Times New Roman" w:hAnsi="Times New Roman" w:hint="eastAsia"/>
          <w:color w:val="000000"/>
          <w:szCs w:val="28"/>
        </w:rPr>
        <w:t>збільшенню</w:t>
      </w:r>
      <w:r w:rsidRPr="004E137F">
        <w:rPr>
          <w:rFonts w:ascii="Times New Roman" w:hAnsi="Times New Roman"/>
          <w:color w:val="000000"/>
          <w:szCs w:val="28"/>
        </w:rPr>
        <w:t xml:space="preserve"> </w:t>
      </w:r>
      <w:r w:rsidRPr="004E137F">
        <w:rPr>
          <w:rFonts w:ascii="Times New Roman" w:hAnsi="Times New Roman" w:hint="eastAsia"/>
          <w:color w:val="000000"/>
          <w:szCs w:val="28"/>
        </w:rPr>
        <w:t>кількості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ліцензованих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операційних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систем</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переходу</w:t>
      </w:r>
      <w:r w:rsidRPr="004E137F">
        <w:rPr>
          <w:rFonts w:ascii="Times New Roman" w:hAnsi="Times New Roman"/>
          <w:color w:val="000000"/>
          <w:szCs w:val="28"/>
        </w:rPr>
        <w:t xml:space="preserve"> </w:t>
      </w:r>
      <w:r w:rsidRPr="004E137F">
        <w:rPr>
          <w:rFonts w:ascii="Times New Roman" w:hAnsi="Times New Roman" w:hint="eastAsia"/>
          <w:color w:val="000000"/>
          <w:szCs w:val="28"/>
        </w:rPr>
        <w:t>більшої</w:t>
      </w:r>
      <w:r w:rsidRPr="004E137F">
        <w:rPr>
          <w:rFonts w:ascii="Times New Roman" w:hAnsi="Times New Roman"/>
          <w:color w:val="000000"/>
          <w:szCs w:val="28"/>
        </w:rPr>
        <w:t xml:space="preserve"> </w:t>
      </w:r>
      <w:r w:rsidRPr="004E137F">
        <w:rPr>
          <w:rFonts w:ascii="Times New Roman" w:hAnsi="Times New Roman" w:hint="eastAsia"/>
          <w:color w:val="000000"/>
          <w:szCs w:val="28"/>
        </w:rPr>
        <w:t>частини</w:t>
      </w:r>
      <w:r w:rsidRPr="004E137F">
        <w:rPr>
          <w:rFonts w:ascii="Times New Roman" w:hAnsi="Times New Roman"/>
          <w:color w:val="000000"/>
          <w:szCs w:val="28"/>
        </w:rPr>
        <w:t xml:space="preserve"> </w:t>
      </w:r>
      <w:r w:rsidRPr="004E137F">
        <w:rPr>
          <w:rFonts w:ascii="Times New Roman" w:hAnsi="Times New Roman" w:hint="eastAsia"/>
          <w:color w:val="000000"/>
          <w:szCs w:val="28"/>
        </w:rPr>
        <w:t>колективу</w:t>
      </w:r>
      <w:r w:rsidRPr="004E137F">
        <w:rPr>
          <w:rFonts w:ascii="Times New Roman" w:hAnsi="Times New Roman"/>
          <w:color w:val="000000"/>
          <w:szCs w:val="28"/>
        </w:rPr>
        <w:t xml:space="preserve"> </w:t>
      </w:r>
      <w:r w:rsidRPr="004E137F">
        <w:rPr>
          <w:rFonts w:ascii="Times New Roman" w:hAnsi="Times New Roman" w:hint="eastAsia"/>
          <w:color w:val="000000"/>
          <w:szCs w:val="28"/>
        </w:rPr>
        <w:t>на</w:t>
      </w:r>
      <w:r w:rsidRPr="004E137F">
        <w:rPr>
          <w:rFonts w:ascii="Times New Roman" w:hAnsi="Times New Roman"/>
          <w:color w:val="000000"/>
          <w:szCs w:val="28"/>
        </w:rPr>
        <w:t xml:space="preserve"> </w:t>
      </w:r>
      <w:r w:rsidRPr="004E137F">
        <w:rPr>
          <w:rFonts w:ascii="Times New Roman" w:hAnsi="Times New Roman" w:hint="eastAsia"/>
          <w:color w:val="000000"/>
          <w:szCs w:val="28"/>
        </w:rPr>
        <w:t>опенсорсні</w:t>
      </w:r>
      <w:r w:rsidRPr="004E137F">
        <w:rPr>
          <w:rFonts w:ascii="Times New Roman" w:hAnsi="Times New Roman"/>
          <w:color w:val="000000"/>
          <w:szCs w:val="28"/>
        </w:rPr>
        <w:t xml:space="preserve"> </w:t>
      </w:r>
      <w:r w:rsidRPr="004E137F">
        <w:rPr>
          <w:rFonts w:ascii="Times New Roman" w:hAnsi="Times New Roman" w:hint="eastAsia"/>
          <w:color w:val="000000"/>
          <w:szCs w:val="28"/>
        </w:rPr>
        <w:t>офісні</w:t>
      </w:r>
      <w:r w:rsidRPr="004E137F">
        <w:rPr>
          <w:rFonts w:ascii="Times New Roman" w:hAnsi="Times New Roman"/>
          <w:color w:val="000000"/>
          <w:szCs w:val="28"/>
        </w:rPr>
        <w:t xml:space="preserve"> </w:t>
      </w:r>
      <w:r w:rsidRPr="004E137F">
        <w:rPr>
          <w:rFonts w:ascii="Times New Roman" w:hAnsi="Times New Roman" w:hint="eastAsia"/>
          <w:color w:val="000000"/>
          <w:szCs w:val="28"/>
        </w:rPr>
        <w:t>рішення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дял</w:t>
      </w:r>
      <w:r w:rsidRPr="004E137F">
        <w:rPr>
          <w:rFonts w:ascii="Times New Roman" w:hAnsi="Times New Roman"/>
          <w:color w:val="000000"/>
          <w:szCs w:val="28"/>
        </w:rPr>
        <w:t xml:space="preserve"> </w:t>
      </w:r>
      <w:r w:rsidRPr="004E137F">
        <w:rPr>
          <w:rFonts w:ascii="Times New Roman" w:hAnsi="Times New Roman" w:hint="eastAsia"/>
          <w:color w:val="000000"/>
          <w:szCs w:val="28"/>
        </w:rPr>
        <w:t>спільної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документами</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Зростання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прозорості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відкритості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шляхом</w:t>
      </w:r>
      <w:r w:rsidRPr="004E137F">
        <w:rPr>
          <w:rFonts w:ascii="Times New Roman" w:hAnsi="Times New Roman"/>
          <w:color w:val="000000"/>
          <w:szCs w:val="28"/>
        </w:rPr>
        <w:t xml:space="preserve"> </w:t>
      </w:r>
      <w:r w:rsidRPr="004E137F">
        <w:rPr>
          <w:rFonts w:ascii="Times New Roman" w:hAnsi="Times New Roman" w:hint="eastAsia"/>
          <w:color w:val="000000"/>
          <w:szCs w:val="28"/>
        </w:rPr>
        <w:t>збільшення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кількості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оприлюднених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наборів</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відкритих</w:t>
      </w:r>
      <w:r w:rsidRPr="004E137F">
        <w:rPr>
          <w:rFonts w:ascii="Times New Roman" w:hAnsi="Times New Roman"/>
          <w:color w:val="000000"/>
          <w:szCs w:val="28"/>
        </w:rPr>
        <w:t xml:space="preserve"> </w:t>
      </w:r>
      <w:r w:rsidRPr="004E137F">
        <w:rPr>
          <w:rFonts w:ascii="Times New Roman" w:hAnsi="Times New Roman" w:hint="eastAsia"/>
          <w:color w:val="000000"/>
          <w:szCs w:val="28"/>
        </w:rPr>
        <w:t>даних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менш</w:t>
      </w:r>
      <w:r w:rsidRPr="004E137F">
        <w:rPr>
          <w:rFonts w:ascii="Times New Roman" w:hAnsi="Times New Roman"/>
          <w:color w:val="000000"/>
          <w:szCs w:val="28"/>
        </w:rPr>
        <w:t xml:space="preserve"> </w:t>
      </w:r>
      <w:r w:rsidRPr="004E137F">
        <w:rPr>
          <w:rFonts w:ascii="Times New Roman" w:hAnsi="Times New Roman" w:hint="eastAsia"/>
          <w:color w:val="000000"/>
          <w:szCs w:val="28"/>
        </w:rPr>
        <w:t>ніж</w:t>
      </w:r>
      <w:r w:rsidRPr="004E137F">
        <w:rPr>
          <w:rFonts w:ascii="Times New Roman" w:hAnsi="Times New Roman"/>
          <w:color w:val="000000"/>
          <w:szCs w:val="28"/>
        </w:rPr>
        <w:t xml:space="preserve"> %10 </w:t>
      </w:r>
      <w:r w:rsidRPr="004E137F">
        <w:rPr>
          <w:rFonts w:ascii="Times New Roman" w:hAnsi="Times New Roman" w:hint="eastAsia"/>
          <w:color w:val="000000"/>
          <w:szCs w:val="28"/>
        </w:rPr>
        <w:t>до</w:t>
      </w:r>
      <w:r w:rsidRPr="004E137F">
        <w:rPr>
          <w:rFonts w:ascii="Times New Roman" w:hAnsi="Times New Roman"/>
          <w:color w:val="000000"/>
          <w:szCs w:val="28"/>
        </w:rPr>
        <w:t xml:space="preserve"> </w:t>
      </w:r>
      <w:r w:rsidRPr="004E137F">
        <w:rPr>
          <w:rFonts w:ascii="Times New Roman" w:hAnsi="Times New Roman" w:hint="eastAsia"/>
          <w:color w:val="000000"/>
          <w:szCs w:val="28"/>
        </w:rPr>
        <w:t>понад</w:t>
      </w:r>
      <w:r w:rsidRPr="004E137F">
        <w:rPr>
          <w:rFonts w:ascii="Times New Roman" w:hAnsi="Times New Roman"/>
          <w:color w:val="000000"/>
          <w:szCs w:val="28"/>
        </w:rPr>
        <w:t xml:space="preserve"> 30% </w:t>
      </w:r>
      <w:r w:rsidRPr="004E137F">
        <w:rPr>
          <w:rFonts w:ascii="Times New Roman" w:hAnsi="Times New Roman" w:hint="eastAsia"/>
          <w:color w:val="000000"/>
          <w:szCs w:val="28"/>
        </w:rPr>
        <w:t>обовязкових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наборів</w:t>
      </w:r>
      <w:r w:rsidRPr="004E137F">
        <w:rPr>
          <w:rFonts w:ascii="Times New Roman" w:hAnsi="Times New Roman"/>
          <w:color w:val="000000"/>
          <w:szCs w:val="28"/>
        </w:rPr>
        <w:t xml:space="preserve">), </w:t>
      </w:r>
      <w:r w:rsidRPr="004E137F">
        <w:rPr>
          <w:rFonts w:ascii="Times New Roman" w:hAnsi="Times New Roman" w:hint="eastAsia"/>
          <w:color w:val="000000"/>
          <w:szCs w:val="28"/>
        </w:rPr>
        <w:t>модернізації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інструментів</w:t>
      </w:r>
      <w:r w:rsidRPr="004E137F">
        <w:rPr>
          <w:rFonts w:ascii="Times New Roman" w:hAnsi="Times New Roman"/>
          <w:color w:val="000000"/>
          <w:szCs w:val="28"/>
        </w:rPr>
        <w:t xml:space="preserve"> </w:t>
      </w:r>
      <w:r w:rsidRPr="004E137F">
        <w:rPr>
          <w:rFonts w:ascii="Times New Roman" w:hAnsi="Times New Roman" w:hint="eastAsia"/>
          <w:color w:val="000000"/>
          <w:szCs w:val="28"/>
        </w:rPr>
        <w:t>доступу</w:t>
      </w:r>
      <w:r w:rsidRPr="004E137F">
        <w:rPr>
          <w:rFonts w:ascii="Times New Roman" w:hAnsi="Times New Roman"/>
          <w:color w:val="000000"/>
          <w:szCs w:val="28"/>
        </w:rPr>
        <w:t xml:space="preserve"> </w:t>
      </w:r>
      <w:r w:rsidRPr="004E137F">
        <w:rPr>
          <w:rFonts w:ascii="Times New Roman" w:hAnsi="Times New Roman" w:hint="eastAsia"/>
          <w:color w:val="000000"/>
          <w:szCs w:val="28"/>
        </w:rPr>
        <w:t>до</w:t>
      </w:r>
      <w:r w:rsidRPr="004E137F">
        <w:rPr>
          <w:rFonts w:ascii="Times New Roman" w:hAnsi="Times New Roman"/>
          <w:color w:val="000000"/>
          <w:szCs w:val="28"/>
        </w:rPr>
        <w:t xml:space="preserve"> </w:t>
      </w:r>
      <w:r w:rsidRPr="004E137F">
        <w:rPr>
          <w:rFonts w:ascii="Times New Roman" w:hAnsi="Times New Roman" w:hint="eastAsia"/>
          <w:color w:val="000000"/>
          <w:szCs w:val="28"/>
        </w:rPr>
        <w:t>інформації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розвитку</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цифрових</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Покращення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доступності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адміністративних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послуг</w:t>
      </w:r>
      <w:r w:rsidRPr="004E137F">
        <w:rPr>
          <w:rFonts w:ascii="Times New Roman" w:hAnsi="Times New Roman"/>
          <w:color w:val="000000"/>
          <w:szCs w:val="28"/>
        </w:rPr>
        <w:t xml:space="preserve"> </w:t>
      </w:r>
      <w:r w:rsidRPr="004E137F">
        <w:rPr>
          <w:rFonts w:ascii="Times New Roman" w:hAnsi="Times New Roman" w:hint="eastAsia"/>
          <w:color w:val="000000"/>
          <w:szCs w:val="28"/>
        </w:rPr>
        <w:t>для</w:t>
      </w:r>
      <w:r w:rsidRPr="004E137F">
        <w:rPr>
          <w:rFonts w:ascii="Times New Roman" w:hAnsi="Times New Roman"/>
          <w:color w:val="000000"/>
          <w:szCs w:val="28"/>
        </w:rPr>
        <w:t xml:space="preserve"> </w:t>
      </w:r>
      <w:r w:rsidRPr="004E137F">
        <w:rPr>
          <w:rFonts w:ascii="Times New Roman" w:hAnsi="Times New Roman" w:hint="eastAsia"/>
          <w:color w:val="000000"/>
          <w:szCs w:val="28"/>
        </w:rPr>
        <w:t>мешканців</w:t>
      </w:r>
      <w:r w:rsidRPr="004E137F">
        <w:rPr>
          <w:rFonts w:ascii="Times New Roman" w:hAnsi="Times New Roman"/>
          <w:color w:val="000000"/>
          <w:szCs w:val="28"/>
        </w:rPr>
        <w:t xml:space="preserve"> </w:t>
      </w:r>
      <w:r w:rsidRPr="004E137F">
        <w:rPr>
          <w:rFonts w:ascii="Times New Roman" w:hAnsi="Times New Roman" w:hint="eastAsia"/>
          <w:color w:val="000000"/>
          <w:szCs w:val="28"/>
        </w:rPr>
        <w:t>через</w:t>
      </w:r>
      <w:r w:rsidRPr="004E137F">
        <w:rPr>
          <w:rFonts w:ascii="Times New Roman" w:hAnsi="Times New Roman"/>
          <w:color w:val="000000"/>
          <w:szCs w:val="28"/>
        </w:rPr>
        <w:t xml:space="preserve"> </w:t>
      </w:r>
      <w:r w:rsidRPr="004E137F">
        <w:rPr>
          <w:rFonts w:ascii="Times New Roman" w:hAnsi="Times New Roman" w:hint="eastAsia"/>
          <w:color w:val="000000"/>
          <w:szCs w:val="28"/>
        </w:rPr>
        <w:t>запуск</w:t>
      </w:r>
      <w:r w:rsidRPr="004E137F">
        <w:rPr>
          <w:rFonts w:ascii="Times New Roman" w:hAnsi="Times New Roman"/>
          <w:color w:val="000000"/>
          <w:szCs w:val="28"/>
        </w:rPr>
        <w:t xml:space="preserve"> </w:t>
      </w:r>
      <w:r w:rsidRPr="004E137F">
        <w:rPr>
          <w:rFonts w:ascii="Times New Roman" w:hAnsi="Times New Roman" w:hint="eastAsia"/>
          <w:color w:val="000000"/>
          <w:szCs w:val="28"/>
        </w:rPr>
        <w:t>офіційного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вебсайту</w:t>
      </w:r>
      <w:r w:rsidRPr="004E137F">
        <w:rPr>
          <w:rFonts w:ascii="Times New Roman" w:hAnsi="Times New Roman"/>
          <w:color w:val="000000"/>
          <w:szCs w:val="28"/>
        </w:rPr>
        <w:t xml:space="preserve"> </w:t>
      </w:r>
      <w:r w:rsidRPr="004E137F">
        <w:rPr>
          <w:rFonts w:ascii="Times New Roman" w:hAnsi="Times New Roman" w:hint="eastAsia"/>
          <w:color w:val="000000"/>
          <w:szCs w:val="28"/>
        </w:rPr>
        <w:t>ЦНАП</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електронною</w:t>
      </w:r>
      <w:r w:rsidRPr="004E137F">
        <w:rPr>
          <w:rFonts w:ascii="Times New Roman" w:hAnsi="Times New Roman"/>
          <w:color w:val="000000"/>
          <w:szCs w:val="28"/>
        </w:rPr>
        <w:t xml:space="preserve"> </w:t>
      </w:r>
      <w:r w:rsidRPr="004E137F">
        <w:rPr>
          <w:rFonts w:ascii="Times New Roman" w:hAnsi="Times New Roman" w:hint="eastAsia"/>
          <w:color w:val="000000"/>
          <w:szCs w:val="28"/>
        </w:rPr>
        <w:t>чергою</w:t>
      </w:r>
      <w:r w:rsidRPr="004E137F">
        <w:rPr>
          <w:rFonts w:ascii="Times New Roman" w:hAnsi="Times New Roman"/>
          <w:color w:val="000000"/>
          <w:szCs w:val="28"/>
        </w:rPr>
        <w:t xml:space="preserve">, </w:t>
      </w:r>
      <w:r w:rsidRPr="004E137F">
        <w:rPr>
          <w:rFonts w:ascii="Times New Roman" w:hAnsi="Times New Roman" w:hint="eastAsia"/>
          <w:color w:val="000000"/>
          <w:szCs w:val="28"/>
        </w:rPr>
        <w:t>онлайн</w:t>
      </w:r>
      <w:r w:rsidRPr="004E137F">
        <w:rPr>
          <w:rFonts w:ascii="Times New Roman" w:hAnsi="Times New Roman"/>
          <w:color w:val="000000"/>
          <w:szCs w:val="28"/>
        </w:rPr>
        <w:t>-</w:t>
      </w:r>
      <w:r w:rsidRPr="004E137F">
        <w:rPr>
          <w:rFonts w:ascii="Times New Roman" w:hAnsi="Times New Roman" w:hint="eastAsia"/>
          <w:color w:val="000000"/>
          <w:szCs w:val="28"/>
        </w:rPr>
        <w:t>записом</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інтеграцією</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 xml:space="preserve"> </w:t>
      </w:r>
      <w:r w:rsidRPr="004E137F">
        <w:rPr>
          <w:rFonts w:ascii="Times New Roman" w:hAnsi="Times New Roman" w:hint="eastAsia"/>
          <w:color w:val="000000"/>
          <w:szCs w:val="28"/>
        </w:rPr>
        <w:t>оплати</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Активізація</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участі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розвиток</w:t>
      </w:r>
      <w:r w:rsidRPr="004E137F">
        <w:rPr>
          <w:rFonts w:ascii="Times New Roman" w:hAnsi="Times New Roman"/>
          <w:color w:val="000000"/>
          <w:szCs w:val="28"/>
        </w:rPr>
        <w:t xml:space="preserve"> </w:t>
      </w:r>
      <w:r w:rsidRPr="004E137F">
        <w:rPr>
          <w:rFonts w:ascii="Times New Roman" w:hAnsi="Times New Roman" w:hint="eastAsia"/>
          <w:color w:val="000000"/>
          <w:szCs w:val="28"/>
        </w:rPr>
        <w:t>молодіжної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екосистеми</w:t>
      </w:r>
      <w:r w:rsidRPr="004E137F">
        <w:rPr>
          <w:rFonts w:ascii="Times New Roman" w:hAnsi="Times New Roman"/>
          <w:color w:val="000000"/>
          <w:szCs w:val="28"/>
        </w:rPr>
        <w:t xml:space="preserve"> </w:t>
      </w:r>
      <w:r w:rsidRPr="004E137F">
        <w:rPr>
          <w:rFonts w:ascii="Times New Roman" w:hAnsi="Times New Roman" w:hint="eastAsia"/>
          <w:color w:val="000000"/>
          <w:szCs w:val="28"/>
        </w:rPr>
        <w:t>на</w:t>
      </w:r>
      <w:r w:rsidRPr="004E137F">
        <w:rPr>
          <w:rFonts w:ascii="Times New Roman" w:hAnsi="Times New Roman"/>
          <w:color w:val="000000"/>
          <w:szCs w:val="28"/>
        </w:rPr>
        <w:t xml:space="preserve"> </w:t>
      </w:r>
      <w:r w:rsidRPr="004E137F">
        <w:rPr>
          <w:rFonts w:ascii="Times New Roman" w:hAnsi="Times New Roman" w:hint="eastAsia"/>
          <w:color w:val="000000"/>
          <w:szCs w:val="28"/>
        </w:rPr>
        <w:t>базі</w:t>
      </w:r>
      <w:r w:rsidRPr="004E137F">
        <w:rPr>
          <w:rFonts w:ascii="Times New Roman" w:hAnsi="Times New Roman"/>
          <w:color w:val="000000"/>
          <w:szCs w:val="28"/>
        </w:rPr>
        <w:t xml:space="preserve"> M&amp;I HUB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Молодь</w:t>
      </w:r>
      <w:r w:rsidRPr="004E137F">
        <w:rPr>
          <w:rFonts w:ascii="Times New Roman" w:hAnsi="Times New Roman"/>
          <w:color w:val="000000"/>
          <w:szCs w:val="28"/>
        </w:rPr>
        <w:t xml:space="preserve">Space, </w:t>
      </w:r>
      <w:r w:rsidRPr="004E137F">
        <w:rPr>
          <w:rFonts w:ascii="Times New Roman" w:hAnsi="Times New Roman" w:hint="eastAsia"/>
          <w:color w:val="000000"/>
          <w:szCs w:val="28"/>
        </w:rPr>
        <w:t>де</w:t>
      </w:r>
      <w:r w:rsidRPr="004E137F">
        <w:rPr>
          <w:rFonts w:ascii="Times New Roman" w:hAnsi="Times New Roman"/>
          <w:color w:val="000000"/>
          <w:szCs w:val="28"/>
        </w:rPr>
        <w:t xml:space="preserve"> </w:t>
      </w:r>
      <w:r w:rsidRPr="004E137F">
        <w:rPr>
          <w:rFonts w:ascii="Times New Roman" w:hAnsi="Times New Roman" w:hint="eastAsia"/>
          <w:color w:val="000000"/>
          <w:szCs w:val="28"/>
        </w:rPr>
        <w:t>буде</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проведено</w:t>
      </w:r>
      <w:r w:rsidRPr="004E137F">
        <w:rPr>
          <w:rFonts w:ascii="Times New Roman" w:hAnsi="Times New Roman"/>
          <w:color w:val="000000"/>
          <w:szCs w:val="28"/>
        </w:rPr>
        <w:t xml:space="preserve"> </w:t>
      </w:r>
      <w:r w:rsidRPr="004E137F">
        <w:rPr>
          <w:rFonts w:ascii="Times New Roman" w:hAnsi="Times New Roman" w:hint="eastAsia"/>
          <w:color w:val="000000"/>
          <w:szCs w:val="28"/>
        </w:rPr>
        <w:t>не</w:t>
      </w:r>
      <w:r w:rsidRPr="004E137F">
        <w:rPr>
          <w:rFonts w:ascii="Times New Roman" w:hAnsi="Times New Roman"/>
          <w:color w:val="000000"/>
          <w:szCs w:val="28"/>
        </w:rPr>
        <w:t xml:space="preserve"> </w:t>
      </w:r>
      <w:r w:rsidRPr="004E137F">
        <w:rPr>
          <w:rFonts w:ascii="Times New Roman" w:hAnsi="Times New Roman" w:hint="eastAsia"/>
          <w:color w:val="000000"/>
          <w:szCs w:val="28"/>
        </w:rPr>
        <w:t>менше</w:t>
      </w:r>
      <w:r w:rsidRPr="004E137F">
        <w:rPr>
          <w:rFonts w:ascii="Times New Roman" w:hAnsi="Times New Roman"/>
          <w:color w:val="000000"/>
          <w:szCs w:val="28"/>
        </w:rPr>
        <w:t xml:space="preserve"> </w:t>
      </w:r>
      <w:r w:rsidRPr="004E137F">
        <w:rPr>
          <w:rFonts w:ascii="Times New Roman" w:hAnsi="Times New Roman" w:hint="eastAsia"/>
          <w:color w:val="000000"/>
          <w:szCs w:val="28"/>
        </w:rPr>
        <w:t>п’яти</w:t>
      </w:r>
      <w:r w:rsidRPr="004E137F">
        <w:rPr>
          <w:rFonts w:ascii="Times New Roman" w:hAnsi="Times New Roman"/>
          <w:color w:val="000000"/>
          <w:szCs w:val="28"/>
        </w:rPr>
        <w:t xml:space="preserve"> </w:t>
      </w:r>
      <w:r w:rsidRPr="004E137F">
        <w:rPr>
          <w:rFonts w:ascii="Times New Roman" w:hAnsi="Times New Roman" w:hint="eastAsia"/>
          <w:color w:val="000000"/>
          <w:szCs w:val="28"/>
        </w:rPr>
        <w:t>освітніх</w:t>
      </w:r>
      <w:r w:rsidRPr="004E137F">
        <w:rPr>
          <w:rFonts w:ascii="Times New Roman" w:hAnsi="Times New Roman"/>
          <w:color w:val="000000"/>
          <w:szCs w:val="28"/>
        </w:rPr>
        <w:t xml:space="preserve"> </w:t>
      </w:r>
      <w:r w:rsidRPr="004E137F">
        <w:rPr>
          <w:rFonts w:ascii="Times New Roman" w:hAnsi="Times New Roman" w:hint="eastAsia"/>
          <w:color w:val="000000"/>
          <w:szCs w:val="28"/>
        </w:rPr>
        <w:t>і</w:t>
      </w:r>
      <w:r w:rsidRPr="004E137F">
        <w:rPr>
          <w:rFonts w:ascii="Times New Roman" w:hAnsi="Times New Roman"/>
          <w:color w:val="000000"/>
          <w:szCs w:val="28"/>
        </w:rPr>
        <w:t xml:space="preserve"> </w:t>
      </w:r>
      <w:r w:rsidRPr="004E137F">
        <w:rPr>
          <w:rFonts w:ascii="Times New Roman" w:hAnsi="Times New Roman" w:hint="eastAsia"/>
          <w:color w:val="000000"/>
          <w:szCs w:val="28"/>
        </w:rPr>
        <w:t>технологічних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заходів</w:t>
      </w:r>
      <w:r w:rsidRPr="004E137F">
        <w:rPr>
          <w:rFonts w:ascii="Times New Roman" w:hAnsi="Times New Roman"/>
          <w:color w:val="000000"/>
          <w:szCs w:val="28"/>
        </w:rPr>
        <w:t xml:space="preserve"> </w:t>
      </w:r>
      <w:r w:rsidRPr="004E137F">
        <w:rPr>
          <w:rFonts w:ascii="Times New Roman" w:hAnsi="Times New Roman" w:hint="eastAsia"/>
          <w:color w:val="000000"/>
          <w:szCs w:val="28"/>
        </w:rPr>
        <w:t>для</w:t>
      </w:r>
      <w:r w:rsidRPr="004E137F">
        <w:rPr>
          <w:rFonts w:ascii="Times New Roman" w:hAnsi="Times New Roman"/>
          <w:color w:val="000000"/>
          <w:szCs w:val="28"/>
        </w:rPr>
        <w:t xml:space="preserve"> </w:t>
      </w:r>
      <w:r w:rsidRPr="004E137F">
        <w:rPr>
          <w:rFonts w:ascii="Times New Roman" w:hAnsi="Times New Roman" w:hint="eastAsia"/>
          <w:color w:val="000000"/>
          <w:szCs w:val="28"/>
        </w:rPr>
        <w:t>молоді</w:t>
      </w:r>
      <w:r w:rsidRPr="004E137F">
        <w:rPr>
          <w:rFonts w:ascii="Times New Roman" w:hAnsi="Times New Roman"/>
          <w:color w:val="000000"/>
          <w:szCs w:val="28"/>
        </w:rPr>
        <w:t>.</w:t>
      </w:r>
    </w:p>
    <w:p w:rsidR="004E137F" w:rsidRP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Підвищення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грамотності</w:t>
      </w:r>
      <w:r w:rsidRPr="004E137F">
        <w:rPr>
          <w:rFonts w:ascii="Times New Roman" w:hAnsi="Times New Roman"/>
          <w:color w:val="000000"/>
          <w:szCs w:val="28"/>
        </w:rPr>
        <w:t xml:space="preserve"> </w:t>
      </w:r>
      <w:r w:rsidRPr="004E137F">
        <w:rPr>
          <w:rFonts w:ascii="Times New Roman" w:hAnsi="Times New Roman" w:hint="eastAsia"/>
          <w:color w:val="000000"/>
          <w:szCs w:val="28"/>
        </w:rPr>
        <w:t>працівників</w:t>
      </w:r>
      <w:r w:rsidRPr="004E137F">
        <w:rPr>
          <w:rFonts w:ascii="Times New Roman" w:hAnsi="Times New Roman"/>
          <w:color w:val="000000"/>
          <w:szCs w:val="28"/>
        </w:rPr>
        <w:t xml:space="preserve"> </w:t>
      </w:r>
      <w:r w:rsidRPr="004E137F">
        <w:rPr>
          <w:rFonts w:ascii="Times New Roman" w:hAnsi="Times New Roman" w:hint="eastAsia"/>
          <w:color w:val="000000"/>
          <w:szCs w:val="28"/>
        </w:rPr>
        <w:t>органів</w:t>
      </w:r>
      <w:r w:rsidRPr="004E137F">
        <w:rPr>
          <w:rFonts w:ascii="Times New Roman" w:hAnsi="Times New Roman"/>
          <w:color w:val="000000"/>
          <w:szCs w:val="28"/>
        </w:rPr>
        <w:t xml:space="preserve"> </w:t>
      </w:r>
      <w:r w:rsidRPr="004E137F">
        <w:rPr>
          <w:rFonts w:ascii="Times New Roman" w:hAnsi="Times New Roman" w:hint="eastAsia"/>
          <w:color w:val="000000"/>
          <w:szCs w:val="28"/>
        </w:rPr>
        <w:t>місцевого</w:t>
      </w:r>
      <w:r w:rsidRPr="004E137F">
        <w:rPr>
          <w:rFonts w:ascii="Times New Roman" w:hAnsi="Times New Roman"/>
          <w:color w:val="000000"/>
          <w:szCs w:val="28"/>
        </w:rPr>
        <w:t xml:space="preserve"> </w:t>
      </w:r>
      <w:r w:rsidRPr="004E137F">
        <w:rPr>
          <w:rFonts w:ascii="Times New Roman" w:hAnsi="Times New Roman" w:hint="eastAsia"/>
          <w:color w:val="000000"/>
          <w:szCs w:val="28"/>
        </w:rPr>
        <w:t>самоврядування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шляхом</w:t>
      </w:r>
      <w:r w:rsidRPr="004E137F">
        <w:rPr>
          <w:rFonts w:ascii="Times New Roman" w:hAnsi="Times New Roman"/>
          <w:color w:val="000000"/>
          <w:szCs w:val="28"/>
        </w:rPr>
        <w:t xml:space="preserve"> </w:t>
      </w:r>
      <w:r w:rsidRPr="004E137F">
        <w:rPr>
          <w:rFonts w:ascii="Times New Roman" w:hAnsi="Times New Roman" w:hint="eastAsia"/>
          <w:color w:val="000000"/>
          <w:szCs w:val="28"/>
        </w:rPr>
        <w:t>проведення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регулярних</w:t>
      </w:r>
      <w:r w:rsidRPr="004E137F">
        <w:rPr>
          <w:rFonts w:ascii="Times New Roman" w:hAnsi="Times New Roman"/>
          <w:color w:val="000000"/>
          <w:szCs w:val="28"/>
        </w:rPr>
        <w:t xml:space="preserve"> </w:t>
      </w:r>
      <w:r w:rsidRPr="004E137F">
        <w:rPr>
          <w:rFonts w:ascii="Times New Roman" w:hAnsi="Times New Roman" w:hint="eastAsia"/>
          <w:color w:val="000000"/>
          <w:szCs w:val="28"/>
        </w:rPr>
        <w:t>навчань</w:t>
      </w:r>
      <w:r w:rsidRPr="004E137F">
        <w:rPr>
          <w:rFonts w:ascii="Times New Roman" w:hAnsi="Times New Roman"/>
          <w:color w:val="000000"/>
          <w:szCs w:val="28"/>
        </w:rPr>
        <w:t xml:space="preserve"> </w:t>
      </w:r>
      <w:r w:rsidRPr="004E137F">
        <w:rPr>
          <w:rFonts w:ascii="Times New Roman" w:hAnsi="Times New Roman" w:hint="eastAsia"/>
          <w:color w:val="000000"/>
          <w:szCs w:val="28"/>
        </w:rPr>
        <w:t>із</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трансформації</w:t>
      </w:r>
      <w:r w:rsidRPr="004E137F">
        <w:rPr>
          <w:rFonts w:ascii="Times New Roman" w:hAnsi="Times New Roman"/>
          <w:color w:val="000000"/>
          <w:szCs w:val="28"/>
        </w:rPr>
        <w:t xml:space="preserve">, </w:t>
      </w:r>
      <w:r w:rsidRPr="004E137F">
        <w:rPr>
          <w:rFonts w:ascii="Times New Roman" w:hAnsi="Times New Roman" w:hint="eastAsia"/>
          <w:color w:val="000000"/>
          <w:szCs w:val="28"/>
        </w:rPr>
        <w:t>кібергігієни</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роботи</w:t>
      </w:r>
      <w:r w:rsidRPr="004E137F">
        <w:rPr>
          <w:rFonts w:ascii="Times New Roman" w:hAnsi="Times New Roman"/>
          <w:color w:val="000000"/>
          <w:szCs w:val="28"/>
        </w:rPr>
        <w:t xml:space="preserve"> </w:t>
      </w:r>
      <w:r w:rsidRPr="004E137F">
        <w:rPr>
          <w:rFonts w:ascii="Times New Roman" w:hAnsi="Times New Roman" w:hint="eastAsia"/>
          <w:color w:val="000000"/>
          <w:szCs w:val="28"/>
        </w:rPr>
        <w:t>з</w:t>
      </w:r>
      <w:r w:rsidRPr="004E137F">
        <w:rPr>
          <w:rFonts w:ascii="Times New Roman" w:hAnsi="Times New Roman"/>
          <w:color w:val="000000"/>
          <w:szCs w:val="28"/>
        </w:rPr>
        <w:t xml:space="preserve"> </w:t>
      </w:r>
      <w:r w:rsidRPr="004E137F">
        <w:rPr>
          <w:rFonts w:ascii="Times New Roman" w:hAnsi="Times New Roman" w:hint="eastAsia"/>
          <w:color w:val="000000"/>
          <w:szCs w:val="28"/>
        </w:rPr>
        <w:t>СЕД</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відкритими</w:t>
      </w:r>
      <w:r w:rsidRPr="004E137F">
        <w:rPr>
          <w:rFonts w:ascii="Times New Roman" w:hAnsi="Times New Roman"/>
          <w:color w:val="000000"/>
          <w:szCs w:val="28"/>
        </w:rPr>
        <w:t xml:space="preserve"> </w:t>
      </w:r>
      <w:r w:rsidRPr="004E137F">
        <w:rPr>
          <w:rFonts w:ascii="Times New Roman" w:hAnsi="Times New Roman" w:hint="eastAsia"/>
          <w:color w:val="000000"/>
          <w:szCs w:val="28"/>
        </w:rPr>
        <w:t>даними</w:t>
      </w:r>
      <w:r w:rsidRPr="004E137F">
        <w:rPr>
          <w:rFonts w:ascii="Times New Roman" w:hAnsi="Times New Roman"/>
          <w:color w:val="000000"/>
          <w:szCs w:val="28"/>
        </w:rPr>
        <w:t>.</w:t>
      </w:r>
    </w:p>
    <w:p w:rsidR="004E137F" w:rsidRDefault="004E137F" w:rsidP="004E137F">
      <w:pPr>
        <w:pBdr>
          <w:top w:val="nil"/>
          <w:left w:val="nil"/>
          <w:bottom w:val="nil"/>
          <w:right w:val="nil"/>
          <w:between w:val="nil"/>
        </w:pBdr>
        <w:spacing w:line="360" w:lineRule="auto"/>
        <w:ind w:left="0" w:hanging="3"/>
        <w:jc w:val="both"/>
        <w:rPr>
          <w:rFonts w:ascii="Times New Roman" w:hAnsi="Times New Roman"/>
          <w:color w:val="000000"/>
          <w:szCs w:val="28"/>
        </w:rPr>
      </w:pPr>
      <w:r w:rsidRPr="004E137F">
        <w:rPr>
          <w:rFonts w:ascii="Times New Roman" w:hAnsi="Times New Roman" w:hint="eastAsia"/>
          <w:color w:val="000000"/>
          <w:szCs w:val="28"/>
        </w:rPr>
        <w:t>•</w:t>
      </w:r>
      <w:r w:rsidRPr="004E137F">
        <w:rPr>
          <w:rFonts w:ascii="Times New Roman" w:hAnsi="Times New Roman"/>
          <w:color w:val="000000"/>
          <w:szCs w:val="28"/>
        </w:rPr>
        <w:t xml:space="preserve"> </w:t>
      </w:r>
      <w:r w:rsidRPr="004E137F">
        <w:rPr>
          <w:rFonts w:ascii="Times New Roman" w:hAnsi="Times New Roman" w:hint="eastAsia"/>
          <w:color w:val="000000"/>
          <w:szCs w:val="28"/>
        </w:rPr>
        <w:t>Формування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сучасної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ефективної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стійкої</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інфраструктури</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здатної</w:t>
      </w:r>
      <w:r w:rsidRPr="004E137F">
        <w:rPr>
          <w:rFonts w:ascii="Times New Roman" w:hAnsi="Times New Roman"/>
          <w:color w:val="000000"/>
          <w:szCs w:val="28"/>
        </w:rPr>
        <w:t xml:space="preserve"> </w:t>
      </w:r>
      <w:r w:rsidRPr="004E137F">
        <w:rPr>
          <w:rFonts w:ascii="Times New Roman" w:hAnsi="Times New Roman" w:hint="eastAsia"/>
          <w:color w:val="000000"/>
          <w:szCs w:val="28"/>
        </w:rPr>
        <w:t>забезпечити</w:t>
      </w:r>
      <w:r w:rsidRPr="004E137F">
        <w:rPr>
          <w:rFonts w:ascii="Times New Roman" w:hAnsi="Times New Roman"/>
          <w:color w:val="000000"/>
          <w:szCs w:val="28"/>
        </w:rPr>
        <w:t xml:space="preserve"> </w:t>
      </w:r>
      <w:r w:rsidRPr="004E137F">
        <w:rPr>
          <w:rFonts w:ascii="Times New Roman" w:hAnsi="Times New Roman" w:hint="eastAsia"/>
          <w:color w:val="000000"/>
          <w:szCs w:val="28"/>
        </w:rPr>
        <w:t>стабільну</w:t>
      </w:r>
      <w:r w:rsidRPr="004E137F">
        <w:rPr>
          <w:rFonts w:ascii="Times New Roman" w:hAnsi="Times New Roman"/>
          <w:color w:val="000000"/>
          <w:szCs w:val="28"/>
        </w:rPr>
        <w:t xml:space="preserve"> </w:t>
      </w:r>
      <w:r w:rsidRPr="004E137F">
        <w:rPr>
          <w:rFonts w:ascii="Times New Roman" w:hAnsi="Times New Roman" w:hint="eastAsia"/>
          <w:color w:val="000000"/>
          <w:szCs w:val="28"/>
        </w:rPr>
        <w:t>роботу</w:t>
      </w:r>
      <w:r w:rsidRPr="004E137F">
        <w:rPr>
          <w:rFonts w:ascii="Times New Roman" w:hAnsi="Times New Roman"/>
          <w:color w:val="000000"/>
          <w:szCs w:val="28"/>
        </w:rPr>
        <w:t xml:space="preserve"> </w:t>
      </w:r>
      <w:r w:rsidRPr="004E137F">
        <w:rPr>
          <w:rFonts w:ascii="Times New Roman" w:hAnsi="Times New Roman" w:hint="eastAsia"/>
          <w:color w:val="000000"/>
          <w:szCs w:val="28"/>
        </w:rPr>
        <w:t>сервісів</w:t>
      </w:r>
      <w:r w:rsidRPr="004E137F">
        <w:rPr>
          <w:rFonts w:ascii="Times New Roman" w:hAnsi="Times New Roman"/>
          <w:color w:val="000000"/>
          <w:szCs w:val="28"/>
        </w:rPr>
        <w:t xml:space="preserve">, </w:t>
      </w:r>
      <w:r w:rsidRPr="004E137F">
        <w:rPr>
          <w:rFonts w:ascii="Times New Roman" w:hAnsi="Times New Roman" w:hint="eastAsia"/>
          <w:color w:val="000000"/>
          <w:szCs w:val="28"/>
        </w:rPr>
        <w:t>підзвітність</w:t>
      </w:r>
      <w:r w:rsidRPr="004E137F">
        <w:rPr>
          <w:rFonts w:ascii="Times New Roman" w:hAnsi="Times New Roman"/>
          <w:color w:val="000000"/>
          <w:szCs w:val="28"/>
        </w:rPr>
        <w:t xml:space="preserve"> </w:t>
      </w:r>
      <w:r w:rsidRPr="004E137F">
        <w:rPr>
          <w:rFonts w:ascii="Times New Roman" w:hAnsi="Times New Roman" w:hint="eastAsia"/>
          <w:color w:val="000000"/>
          <w:szCs w:val="28"/>
        </w:rPr>
        <w:t>влади</w:t>
      </w:r>
      <w:r w:rsidRPr="004E137F">
        <w:rPr>
          <w:rFonts w:ascii="Times New Roman" w:hAnsi="Times New Roman"/>
          <w:color w:val="000000"/>
          <w:szCs w:val="28"/>
        </w:rPr>
        <w:t xml:space="preserve">, </w:t>
      </w:r>
      <w:r w:rsidRPr="004E137F">
        <w:rPr>
          <w:rFonts w:ascii="Times New Roman" w:hAnsi="Times New Roman" w:hint="eastAsia"/>
          <w:color w:val="000000"/>
          <w:szCs w:val="28"/>
        </w:rPr>
        <w:t>залучення</w:t>
      </w:r>
      <w:r w:rsidRPr="004E137F">
        <w:rPr>
          <w:rFonts w:ascii="Times New Roman" w:hAnsi="Times New Roman"/>
          <w:color w:val="000000"/>
          <w:szCs w:val="28"/>
        </w:rPr>
        <w:t xml:space="preserve"> </w:t>
      </w:r>
      <w:r w:rsidRPr="004E137F">
        <w:rPr>
          <w:rFonts w:ascii="Times New Roman" w:hAnsi="Times New Roman" w:hint="eastAsia"/>
          <w:color w:val="000000"/>
          <w:szCs w:val="28"/>
        </w:rPr>
        <w:t>громадян</w:t>
      </w:r>
      <w:r w:rsidRPr="004E137F">
        <w:rPr>
          <w:rFonts w:ascii="Times New Roman" w:hAnsi="Times New Roman"/>
          <w:color w:val="000000"/>
          <w:szCs w:val="28"/>
        </w:rPr>
        <w:t xml:space="preserve"> </w:t>
      </w:r>
      <w:r w:rsidRPr="004E137F">
        <w:rPr>
          <w:rFonts w:ascii="Times New Roman" w:hAnsi="Times New Roman" w:hint="eastAsia"/>
          <w:color w:val="000000"/>
          <w:szCs w:val="28"/>
        </w:rPr>
        <w:t>та</w:t>
      </w:r>
      <w:r w:rsidRPr="004E137F">
        <w:rPr>
          <w:rFonts w:ascii="Times New Roman" w:hAnsi="Times New Roman"/>
          <w:color w:val="000000"/>
          <w:szCs w:val="28"/>
        </w:rPr>
        <w:t xml:space="preserve"> </w:t>
      </w:r>
      <w:r w:rsidRPr="004E137F">
        <w:rPr>
          <w:rFonts w:ascii="Times New Roman" w:hAnsi="Times New Roman" w:hint="eastAsia"/>
          <w:color w:val="000000"/>
          <w:szCs w:val="28"/>
        </w:rPr>
        <w:t>розвиток</w:t>
      </w:r>
      <w:r w:rsidRPr="004E137F">
        <w:rPr>
          <w:rFonts w:ascii="Times New Roman" w:hAnsi="Times New Roman"/>
          <w:color w:val="000000"/>
          <w:szCs w:val="28"/>
        </w:rPr>
        <w:t xml:space="preserve"> </w:t>
      </w:r>
      <w:r w:rsidRPr="004E137F">
        <w:rPr>
          <w:rFonts w:ascii="Times New Roman" w:hAnsi="Times New Roman" w:hint="eastAsia"/>
          <w:color w:val="000000"/>
          <w:szCs w:val="28"/>
        </w:rPr>
        <w:t>цифрової</w:t>
      </w:r>
      <w:r w:rsidRPr="004E137F">
        <w:rPr>
          <w:rFonts w:ascii="Times New Roman" w:hAnsi="Times New Roman"/>
          <w:color w:val="000000"/>
          <w:szCs w:val="28"/>
        </w:rPr>
        <w:t xml:space="preserve"> </w:t>
      </w:r>
      <w:r w:rsidRPr="004E137F">
        <w:rPr>
          <w:rFonts w:ascii="Times New Roman" w:hAnsi="Times New Roman" w:hint="eastAsia"/>
          <w:color w:val="000000"/>
          <w:szCs w:val="28"/>
        </w:rPr>
        <w:t>економіки</w:t>
      </w:r>
      <w:r w:rsidRPr="004E137F">
        <w:rPr>
          <w:rFonts w:ascii="Times New Roman" w:hAnsi="Times New Roman"/>
          <w:color w:val="000000"/>
          <w:szCs w:val="28"/>
        </w:rPr>
        <w:t>.</w:t>
      </w:r>
    </w:p>
    <w:p w:rsidR="007E149F" w:rsidRDefault="007E149F">
      <w:pPr>
        <w:pBdr>
          <w:top w:val="nil"/>
          <w:left w:val="nil"/>
          <w:bottom w:val="nil"/>
          <w:right w:val="nil"/>
          <w:between w:val="nil"/>
        </w:pBdr>
        <w:spacing w:line="360" w:lineRule="auto"/>
        <w:ind w:left="0" w:hanging="3"/>
        <w:jc w:val="both"/>
        <w:rPr>
          <w:rFonts w:ascii="Times New Roman" w:hAnsi="Times New Roman"/>
          <w:color w:val="000000"/>
          <w:szCs w:val="28"/>
        </w:rPr>
      </w:pPr>
    </w:p>
    <w:p w:rsidR="007E149F" w:rsidRDefault="00445E8A">
      <w:pPr>
        <w:pBdr>
          <w:top w:val="nil"/>
          <w:left w:val="nil"/>
          <w:bottom w:val="nil"/>
          <w:right w:val="nil"/>
          <w:between w:val="nil"/>
        </w:pBdr>
        <w:shd w:val="clear" w:color="auto" w:fill="8EAADB"/>
        <w:spacing w:line="240" w:lineRule="auto"/>
        <w:ind w:left="0" w:hanging="3"/>
        <w:jc w:val="center"/>
        <w:rPr>
          <w:rFonts w:ascii="Times New Roman" w:hAnsi="Times New Roman"/>
          <w:color w:val="000000"/>
          <w:szCs w:val="28"/>
        </w:rPr>
      </w:pPr>
      <w:r>
        <w:rPr>
          <w:rFonts w:ascii="Times New Roman" w:hAnsi="Times New Roman"/>
          <w:b/>
          <w:bCs/>
          <w:color w:val="000000"/>
          <w:szCs w:val="28"/>
        </w:rPr>
        <w:t>Удосконалення системи надання адміністративних послуг</w:t>
      </w:r>
    </w:p>
    <w:p w:rsidR="007E149F" w:rsidRDefault="00445E8A" w:rsidP="0017698D">
      <w:pPr>
        <w:pBdr>
          <w:top w:val="nil"/>
          <w:left w:val="nil"/>
          <w:bottom w:val="nil"/>
          <w:right w:val="nil"/>
          <w:between w:val="nil"/>
        </w:pBdr>
        <w:spacing w:line="360" w:lineRule="auto"/>
        <w:ind w:leftChars="0" w:left="0" w:firstLineChars="0" w:firstLine="720"/>
        <w:jc w:val="both"/>
        <w:rPr>
          <w:rFonts w:ascii="Times New Roman" w:hAnsi="Times New Roman"/>
          <w:color w:val="000000"/>
          <w:szCs w:val="28"/>
        </w:rPr>
      </w:pPr>
      <w:r>
        <w:rPr>
          <w:rFonts w:ascii="Times New Roman" w:hAnsi="Times New Roman"/>
          <w:color w:val="000000"/>
          <w:szCs w:val="28"/>
        </w:rPr>
        <w:lastRenderedPageBreak/>
        <w:t>Мета - забезпечення сталого розвитку сфери надання адміністративних послуг, у тому числі прискорення впровадження використання електронних сервісів, створення належних умов для максимального наближення державних послуг до кожного мешканця громади, популяризації діяльності центру надання адміністративних послуг.</w:t>
      </w:r>
    </w:p>
    <w:p w:rsidR="007E149F" w:rsidRDefault="00445E8A">
      <w:pPr>
        <w:pBdr>
          <w:top w:val="nil"/>
          <w:left w:val="nil"/>
          <w:bottom w:val="nil"/>
          <w:right w:val="nil"/>
          <w:between w:val="nil"/>
        </w:pBdr>
        <w:spacing w:line="360" w:lineRule="auto"/>
        <w:ind w:left="0" w:hanging="3"/>
        <w:jc w:val="center"/>
        <w:rPr>
          <w:rFonts w:ascii="Times New Roman" w:hAnsi="Times New Roman"/>
          <w:color w:val="000000"/>
          <w:sz w:val="24"/>
          <w:szCs w:val="24"/>
        </w:rPr>
      </w:pPr>
      <w:r>
        <w:rPr>
          <w:rFonts w:ascii="Times New Roman" w:hAnsi="Times New Roman"/>
          <w:b/>
          <w:bCs/>
          <w:color w:val="000000"/>
          <w:szCs w:val="28"/>
        </w:rPr>
        <w:t>Пріоритетні завдання та заходи</w:t>
      </w:r>
      <w:r>
        <w:rPr>
          <w:rFonts w:ascii="Times New Roman" w:hAnsi="Times New Roman"/>
          <w:b/>
          <w:bCs/>
          <w:color w:val="000000"/>
          <w:sz w:val="26"/>
          <w:szCs w:val="26"/>
        </w:rPr>
        <w:t>:</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Відпрацювання та впровадження дієвих механізмів надання якісних, доступних та інклюзивних адміністративних послуг із використанням сучасних цифрових платформ.</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Запровадження нових підходів до сервісного обслуговування населення, включно з мобільними та дистанційними сервісами, що розширюють доступність послуг у віддалених районах громади.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Посилення ролі ЦНАПів у системі надання електронних послуг, забезпечення фізичної безбар’єрності, створення умов для обслуговування маломобільних груп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Проведення систематичних інформаційних кампаній із популяризації діяльності ЦНАПу, підвищення цифрової грамотності громадян, особливо серед вразливих верств населення.</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Модернізація технологій управління місцевого рівня із впровадженням єдиного інтегрованого порталу адміністративних послуг із можливістю зворотного зв’язку та моніторингу якості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кваліфікації персоналу ЦНАП, запровадження сучасних стандартів клієнтського сервісу.</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bookmarkStart w:id="3" w:name="_heading=h.l1mrxrm10jym" w:colFirst="0" w:colLast="0"/>
      <w:bookmarkEnd w:id="3"/>
      <w:r>
        <w:rPr>
          <w:rFonts w:ascii="Times New Roman" w:hAnsi="Times New Roman"/>
          <w:color w:val="000000"/>
          <w:szCs w:val="28"/>
        </w:rPr>
        <w:t>•</w:t>
      </w:r>
      <w:r>
        <w:rPr>
          <w:rFonts w:ascii="Times New Roman" w:hAnsi="Times New Roman"/>
          <w:color w:val="000000"/>
          <w:szCs w:val="28"/>
        </w:rPr>
        <w:tab/>
        <w:t>Забезпечення синхронізації процесів електронного врядування в освіті, медицині, транспорті, ЖКГ та інших сферах діяльності громади.</w:t>
      </w:r>
    </w:p>
    <w:p w:rsidR="007E149F" w:rsidRDefault="00445E8A">
      <w:pPr>
        <w:widowControl w:val="0"/>
        <w:pBdr>
          <w:top w:val="nil"/>
          <w:left w:val="nil"/>
          <w:bottom w:val="nil"/>
          <w:right w:val="nil"/>
          <w:between w:val="nil"/>
        </w:pBdr>
        <w:tabs>
          <w:tab w:val="left" w:pos="540"/>
        </w:tabs>
        <w:spacing w:line="360" w:lineRule="auto"/>
        <w:ind w:left="0" w:hanging="3"/>
        <w:jc w:val="center"/>
        <w:rPr>
          <w:rFonts w:ascii="Times New Roman" w:hAnsi="Times New Roman"/>
          <w:color w:val="000000"/>
          <w:szCs w:val="28"/>
        </w:rPr>
      </w:pPr>
      <w:r>
        <w:rPr>
          <w:rFonts w:ascii="Times New Roman" w:hAnsi="Times New Roman"/>
          <w:b/>
          <w:bCs/>
          <w:color w:val="000000"/>
          <w:szCs w:val="28"/>
        </w:rPr>
        <w:t>Очікувані результати: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Забезпечення належного рівня фізичної безбар’єрності і цифрової доступності у ЦНАПі та інших точках надання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Збільшення кількості громадян, які скористались доступом до сучасних електронних сервісів із врахуванням різних демографічних груп.</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lastRenderedPageBreak/>
        <w:t>•</w:t>
      </w:r>
      <w:r>
        <w:rPr>
          <w:rFonts w:ascii="Times New Roman" w:hAnsi="Times New Roman"/>
          <w:color w:val="000000"/>
          <w:szCs w:val="28"/>
        </w:rPr>
        <w:tab/>
        <w:t>Модернізація технологій управління місцевого рівня та підвищення ефективності надання послуг.</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Всебічне застосування інформаційних технологій у різних галузях, покращення якості життя громадян та прозорості діяльності місцевої влади.</w:t>
      </w:r>
    </w:p>
    <w:p w:rsidR="007E149F" w:rsidRDefault="00445E8A">
      <w:pPr>
        <w:pBdr>
          <w:top w:val="nil"/>
          <w:left w:val="nil"/>
          <w:bottom w:val="nil"/>
          <w:right w:val="nil"/>
          <w:between w:val="nil"/>
        </w:pBdr>
        <w:spacing w:line="360" w:lineRule="auto"/>
        <w:ind w:left="0" w:hanging="3"/>
        <w:jc w:val="both"/>
        <w:rPr>
          <w:rFonts w:ascii="Times New Roman" w:hAnsi="Times New Roman"/>
          <w:color w:val="000000"/>
          <w:szCs w:val="28"/>
        </w:rPr>
      </w:pPr>
      <w:r>
        <w:rPr>
          <w:rFonts w:ascii="Times New Roman" w:hAnsi="Times New Roman"/>
          <w:color w:val="000000"/>
          <w:szCs w:val="28"/>
        </w:rPr>
        <w:t>•</w:t>
      </w:r>
      <w:r>
        <w:rPr>
          <w:rFonts w:ascii="Times New Roman" w:hAnsi="Times New Roman"/>
          <w:color w:val="000000"/>
          <w:szCs w:val="28"/>
        </w:rPr>
        <w:tab/>
        <w:t>Підвищення ступеня довіри населення до органів влади через прозорість і відкритість процесів.</w:t>
      </w:r>
    </w:p>
    <w:p w:rsidR="0017698D" w:rsidRDefault="0017698D">
      <w:pPr>
        <w:pBdr>
          <w:top w:val="nil"/>
          <w:left w:val="nil"/>
          <w:bottom w:val="nil"/>
          <w:right w:val="nil"/>
          <w:between w:val="nil"/>
        </w:pBdr>
        <w:spacing w:line="240" w:lineRule="auto"/>
        <w:ind w:left="0" w:hanging="3"/>
        <w:jc w:val="both"/>
        <w:rPr>
          <w:rFonts w:ascii="Times New Roman" w:hAnsi="Times New Roman"/>
          <w:b/>
          <w:bCs/>
          <w:color w:val="000000"/>
          <w:szCs w:val="28"/>
        </w:rPr>
      </w:pPr>
    </w:p>
    <w:p w:rsidR="007E149F" w:rsidRPr="00C37401" w:rsidRDefault="00C37401">
      <w:pPr>
        <w:pBdr>
          <w:top w:val="nil"/>
          <w:left w:val="nil"/>
          <w:bottom w:val="nil"/>
          <w:right w:val="nil"/>
          <w:between w:val="nil"/>
        </w:pBdr>
        <w:spacing w:line="240" w:lineRule="auto"/>
        <w:ind w:left="0" w:hanging="3"/>
        <w:jc w:val="both"/>
        <w:rPr>
          <w:rFonts w:ascii="Times New Roman" w:hAnsi="Times New Roman"/>
          <w:color w:val="000000"/>
          <w:szCs w:val="28"/>
          <w:lang w:val="uk-UA"/>
        </w:rPr>
      </w:pPr>
      <w:r>
        <w:rPr>
          <w:rFonts w:ascii="Times New Roman" w:hAnsi="Times New Roman"/>
          <w:b/>
          <w:bCs/>
          <w:color w:val="000000"/>
          <w:szCs w:val="28"/>
          <w:lang w:val="uk-UA"/>
        </w:rPr>
        <w:t>Керуючий справами</w:t>
      </w:r>
      <w:r>
        <w:rPr>
          <w:rFonts w:ascii="Times New Roman" w:hAnsi="Times New Roman"/>
          <w:b/>
          <w:bCs/>
          <w:color w:val="000000"/>
          <w:szCs w:val="28"/>
          <w:lang w:val="uk-UA"/>
        </w:rPr>
        <w:tab/>
      </w:r>
      <w:r>
        <w:rPr>
          <w:rFonts w:ascii="Times New Roman" w:hAnsi="Times New Roman"/>
          <w:b/>
          <w:bCs/>
          <w:color w:val="000000"/>
          <w:szCs w:val="28"/>
          <w:lang w:val="uk-UA"/>
        </w:rPr>
        <w:tab/>
      </w:r>
      <w:r>
        <w:rPr>
          <w:rFonts w:ascii="Times New Roman" w:hAnsi="Times New Roman"/>
          <w:b/>
          <w:bCs/>
          <w:color w:val="000000"/>
          <w:szCs w:val="28"/>
          <w:lang w:val="uk-UA"/>
        </w:rPr>
        <w:tab/>
      </w:r>
      <w:r>
        <w:rPr>
          <w:rFonts w:ascii="Times New Roman" w:hAnsi="Times New Roman"/>
          <w:b/>
          <w:bCs/>
          <w:color w:val="000000"/>
          <w:szCs w:val="28"/>
          <w:lang w:val="uk-UA"/>
        </w:rPr>
        <w:tab/>
      </w:r>
      <w:r>
        <w:rPr>
          <w:rFonts w:ascii="Times New Roman" w:hAnsi="Times New Roman"/>
          <w:b/>
          <w:bCs/>
          <w:color w:val="000000"/>
          <w:szCs w:val="28"/>
          <w:lang w:val="uk-UA"/>
        </w:rPr>
        <w:tab/>
        <w:t>Ганна САЛАМАТІНА</w:t>
      </w:r>
    </w:p>
    <w:sectPr w:rsidR="007E149F" w:rsidRPr="00C37401">
      <w:headerReference w:type="even" r:id="rId21"/>
      <w:headerReference w:type="default" r:id="rId22"/>
      <w:pgSz w:w="11906" w:h="16838"/>
      <w:pgMar w:top="709" w:right="567" w:bottom="426" w:left="1559"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3EED" w:rsidRDefault="001D3EED">
      <w:pPr>
        <w:spacing w:line="240" w:lineRule="auto"/>
        <w:ind w:left="0" w:hanging="3"/>
      </w:pPr>
      <w:r>
        <w:separator/>
      </w:r>
    </w:p>
  </w:endnote>
  <w:endnote w:type="continuationSeparator" w:id="0">
    <w:p w:rsidR="001D3EED" w:rsidRDefault="001D3EED">
      <w:pPr>
        <w:spacing w:line="240" w:lineRule="auto"/>
        <w:ind w:left="0" w:hanging="3"/>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3E62EE68-35ED-4FF6-88BC-6C857A1C228A}"/>
  </w:font>
  <w:font w:name="Antiqua">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2" w:fontKey="{DCA4DD9F-4A20-465F-8383-AD4691C81DDC}"/>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embedRegular r:id="rId3" w:fontKey="{99B73833-FA57-42AC-B737-A380CD812933}"/>
  </w:font>
  <w:font w:name="Tahoma">
    <w:panose1 w:val="020B0604030504040204"/>
    <w:charset w:val="CC"/>
    <w:family w:val="swiss"/>
    <w:pitch w:val="variable"/>
    <w:sig w:usb0="E1002EFF" w:usb1="C000605B" w:usb2="00000029" w:usb3="00000000" w:csb0="000101FF" w:csb1="00000000"/>
    <w:embedRegular r:id="rId4" w:fontKey="{968A82B8-5483-442A-AA3F-8A75F4869710}"/>
  </w:font>
  <w:font w:name="Calibri">
    <w:panose1 w:val="020F0502020204030204"/>
    <w:charset w:val="CC"/>
    <w:family w:val="swiss"/>
    <w:pitch w:val="variable"/>
    <w:sig w:usb0="E4002EFF" w:usb1="C200247B" w:usb2="00000009" w:usb3="00000000" w:csb0="000001FF" w:csb1="00000000"/>
    <w:embedRegular r:id="rId5" w:fontKey="{FC172972-BF7F-4C73-8F00-D58A02FB0CE8}"/>
  </w:font>
  <w:font w:name="Georgia">
    <w:panose1 w:val="02040502050405020303"/>
    <w:charset w:val="CC"/>
    <w:family w:val="roman"/>
    <w:pitch w:val="variable"/>
    <w:sig w:usb0="00000287" w:usb1="00000000" w:usb2="00000000" w:usb3="00000000" w:csb0="0000009F" w:csb1="00000000"/>
    <w:embedItalic r:id="rId6" w:fontKey="{C8B0795A-CB99-4DCB-BD0D-F718AE4ACCB3}"/>
  </w:font>
  <w:font w:name="Inter">
    <w:charset w:val="00"/>
    <w:family w:val="auto"/>
    <w:pitch w:val="default"/>
    <w:embedRegular r:id="rId7" w:fontKey="{22F5106A-530F-4624-9086-F69483122BB2}"/>
    <w:embedBold r:id="rId8" w:fontKey="{69B37189-1590-4239-A68D-9A76D9C16CD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3EED" w:rsidRDefault="001D3EED">
      <w:pPr>
        <w:spacing w:line="240" w:lineRule="auto"/>
        <w:ind w:left="0" w:hanging="3"/>
      </w:pPr>
      <w:r>
        <w:separator/>
      </w:r>
    </w:p>
  </w:footnote>
  <w:footnote w:type="continuationSeparator" w:id="0">
    <w:p w:rsidR="001D3EED" w:rsidRDefault="001D3EED">
      <w:pPr>
        <w:spacing w:line="240" w:lineRule="auto"/>
        <w:ind w:left="0" w:hanging="3"/>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BFF" w:rsidRDefault="00DA4BFF">
    <w:pPr>
      <w:pBdr>
        <w:top w:val="nil"/>
        <w:left w:val="nil"/>
        <w:bottom w:val="nil"/>
        <w:right w:val="nil"/>
        <w:between w:val="nil"/>
      </w:pBdr>
      <w:tabs>
        <w:tab w:val="center" w:pos="4677"/>
        <w:tab w:val="right" w:pos="9355"/>
      </w:tabs>
      <w:spacing w:line="240" w:lineRule="auto"/>
      <w:ind w:left="0" w:hanging="3"/>
      <w:jc w:val="center"/>
      <w:rPr>
        <w:rFonts w:eastAsia="Antiqua" w:cs="Antiqua"/>
        <w:color w:val="000000"/>
        <w:szCs w:val="28"/>
      </w:rPr>
    </w:pPr>
    <w:r>
      <w:rPr>
        <w:rFonts w:eastAsia="Antiqua" w:cs="Antiqua"/>
        <w:color w:val="000000"/>
        <w:szCs w:val="28"/>
      </w:rPr>
      <w:fldChar w:fldCharType="begin"/>
    </w:r>
    <w:r>
      <w:rPr>
        <w:rFonts w:eastAsia="Antiqua" w:cs="Antiqua"/>
        <w:color w:val="000000"/>
        <w:szCs w:val="28"/>
      </w:rPr>
      <w:instrText>PAGE</w:instrText>
    </w:r>
    <w:r>
      <w:rPr>
        <w:rFonts w:eastAsia="Antiqua" w:cs="Antiqua"/>
        <w:color w:val="000000"/>
        <w:szCs w:val="28"/>
      </w:rPr>
      <w:fldChar w:fldCharType="end"/>
    </w:r>
  </w:p>
  <w:p w:rsidR="00DA4BFF" w:rsidRDefault="00DA4BFF">
    <w:pPr>
      <w:pBdr>
        <w:top w:val="nil"/>
        <w:left w:val="nil"/>
        <w:bottom w:val="nil"/>
        <w:right w:val="nil"/>
        <w:between w:val="nil"/>
      </w:pBdr>
      <w:tabs>
        <w:tab w:val="center" w:pos="4677"/>
        <w:tab w:val="right" w:pos="9355"/>
      </w:tabs>
      <w:spacing w:line="240" w:lineRule="auto"/>
      <w:ind w:left="0" w:hanging="3"/>
      <w:rPr>
        <w:rFonts w:eastAsia="Antiqua" w:cs="Antiqua"/>
        <w:color w:val="000000"/>
        <w:szCs w:val="28"/>
      </w:rPr>
    </w:pPr>
  </w:p>
  <w:p w:rsidR="00DA4BFF" w:rsidRDefault="00DA4BFF">
    <w:pPr>
      <w:pBdr>
        <w:top w:val="nil"/>
        <w:left w:val="nil"/>
        <w:bottom w:val="nil"/>
        <w:right w:val="nil"/>
        <w:between w:val="nil"/>
      </w:pBdr>
      <w:spacing w:line="240" w:lineRule="auto"/>
      <w:ind w:left="0" w:hanging="3"/>
      <w:rPr>
        <w:rFonts w:eastAsia="Antiqua" w:cs="Antiqua"/>
        <w:color w:val="000000"/>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BFF" w:rsidRDefault="00DA4BFF">
    <w:pPr>
      <w:pBdr>
        <w:top w:val="nil"/>
        <w:left w:val="nil"/>
        <w:bottom w:val="nil"/>
        <w:right w:val="nil"/>
        <w:between w:val="nil"/>
      </w:pBdr>
      <w:tabs>
        <w:tab w:val="center" w:pos="4677"/>
        <w:tab w:val="right" w:pos="9355"/>
      </w:tabs>
      <w:spacing w:line="240" w:lineRule="auto"/>
      <w:ind w:left="0" w:hanging="3"/>
      <w:jc w:val="center"/>
      <w:rPr>
        <w:rFonts w:ascii="Times New Roman" w:hAnsi="Times New Roman"/>
        <w:color w:val="000000"/>
        <w:szCs w:val="28"/>
      </w:rPr>
    </w:pPr>
    <w:r>
      <w:rPr>
        <w:rFonts w:ascii="Times New Roman" w:hAnsi="Times New Roman"/>
        <w:color w:val="000000"/>
        <w:szCs w:val="28"/>
      </w:rPr>
      <w:fldChar w:fldCharType="begin"/>
    </w:r>
    <w:r>
      <w:rPr>
        <w:rFonts w:ascii="Times New Roman" w:hAnsi="Times New Roman"/>
        <w:color w:val="000000"/>
        <w:szCs w:val="28"/>
      </w:rPr>
      <w:instrText>PAGE</w:instrText>
    </w:r>
    <w:r>
      <w:rPr>
        <w:rFonts w:ascii="Times New Roman" w:hAnsi="Times New Roman"/>
        <w:color w:val="000000"/>
        <w:szCs w:val="28"/>
      </w:rPr>
      <w:fldChar w:fldCharType="separate"/>
    </w:r>
    <w:r w:rsidR="00A376CD">
      <w:rPr>
        <w:rFonts w:ascii="Times New Roman" w:hAnsi="Times New Roman"/>
        <w:noProof/>
        <w:color w:val="000000"/>
        <w:szCs w:val="28"/>
      </w:rPr>
      <w:t>22</w:t>
    </w:r>
    <w:r>
      <w:rPr>
        <w:rFonts w:ascii="Times New Roman" w:hAnsi="Times New Roman"/>
        <w:color w:val="000000"/>
        <w:szCs w:val="28"/>
      </w:rPr>
      <w:fldChar w:fldCharType="end"/>
    </w:r>
  </w:p>
  <w:p w:rsidR="00DA4BFF" w:rsidRDefault="00DA4BFF">
    <w:pPr>
      <w:pBdr>
        <w:top w:val="nil"/>
        <w:left w:val="nil"/>
        <w:bottom w:val="nil"/>
        <w:right w:val="nil"/>
        <w:between w:val="nil"/>
      </w:pBdr>
      <w:tabs>
        <w:tab w:val="center" w:pos="4677"/>
        <w:tab w:val="right" w:pos="9355"/>
      </w:tabs>
      <w:spacing w:line="240" w:lineRule="auto"/>
      <w:ind w:left="0" w:hanging="3"/>
      <w:rPr>
        <w:rFonts w:eastAsia="Antiqua" w:cs="Antiqua"/>
        <w:color w:val="000000"/>
        <w:szCs w:val="28"/>
      </w:rPr>
    </w:pPr>
  </w:p>
  <w:p w:rsidR="00DA4BFF" w:rsidRDefault="00DA4BFF">
    <w:pPr>
      <w:pBdr>
        <w:top w:val="nil"/>
        <w:left w:val="nil"/>
        <w:bottom w:val="nil"/>
        <w:right w:val="nil"/>
        <w:between w:val="nil"/>
      </w:pBdr>
      <w:spacing w:line="240" w:lineRule="auto"/>
      <w:ind w:left="0" w:hanging="3"/>
      <w:rPr>
        <w:rFonts w:eastAsia="Antiqua" w:cs="Antiqua"/>
        <w:color w:val="000000"/>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E22AD"/>
    <w:multiLevelType w:val="multilevel"/>
    <w:tmpl w:val="EB3C1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C96F1E"/>
    <w:multiLevelType w:val="multilevel"/>
    <w:tmpl w:val="1D861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344019"/>
    <w:multiLevelType w:val="multilevel"/>
    <w:tmpl w:val="7E12E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4B24B7"/>
    <w:multiLevelType w:val="multilevel"/>
    <w:tmpl w:val="797ACE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61027E"/>
    <w:multiLevelType w:val="multilevel"/>
    <w:tmpl w:val="8C122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2856D8"/>
    <w:multiLevelType w:val="multilevel"/>
    <w:tmpl w:val="C64AA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772F0C"/>
    <w:multiLevelType w:val="multilevel"/>
    <w:tmpl w:val="1C5A1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30937"/>
    <w:multiLevelType w:val="multilevel"/>
    <w:tmpl w:val="66924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D23809"/>
    <w:multiLevelType w:val="multilevel"/>
    <w:tmpl w:val="DFEA8D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32CA2F84"/>
    <w:multiLevelType w:val="multilevel"/>
    <w:tmpl w:val="0FF22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5705947"/>
    <w:multiLevelType w:val="multilevel"/>
    <w:tmpl w:val="719CE2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5F06D1"/>
    <w:multiLevelType w:val="multilevel"/>
    <w:tmpl w:val="85881C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A33371"/>
    <w:multiLevelType w:val="multilevel"/>
    <w:tmpl w:val="6D8E44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BE44D89"/>
    <w:multiLevelType w:val="multilevel"/>
    <w:tmpl w:val="6A026484"/>
    <w:lvl w:ilvl="0">
      <w:start w:val="6"/>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14" w15:restartNumberingAfterBreak="0">
    <w:nsid w:val="3E574179"/>
    <w:multiLevelType w:val="multilevel"/>
    <w:tmpl w:val="071AD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DE217A"/>
    <w:multiLevelType w:val="multilevel"/>
    <w:tmpl w:val="18527C1A"/>
    <w:lvl w:ilvl="0">
      <w:start w:val="1"/>
      <w:numFmt w:val="decimal"/>
      <w:lvlText w:val="%1."/>
      <w:lvlJc w:val="left"/>
      <w:pPr>
        <w:ind w:left="780" w:hanging="360"/>
      </w:pPr>
      <w:rPr>
        <w:vertAlign w:val="baseline"/>
      </w:rPr>
    </w:lvl>
    <w:lvl w:ilvl="1">
      <w:start w:val="1"/>
      <w:numFmt w:val="lowerLetter"/>
      <w:lvlText w:val="%2."/>
      <w:lvlJc w:val="left"/>
      <w:pPr>
        <w:ind w:left="1500" w:hanging="360"/>
      </w:pPr>
      <w:rPr>
        <w:vertAlign w:val="baseline"/>
      </w:rPr>
    </w:lvl>
    <w:lvl w:ilvl="2">
      <w:start w:val="1"/>
      <w:numFmt w:val="lowerRoman"/>
      <w:lvlText w:val="%3."/>
      <w:lvlJc w:val="right"/>
      <w:pPr>
        <w:ind w:left="2220" w:hanging="180"/>
      </w:pPr>
      <w:rPr>
        <w:vertAlign w:val="baseline"/>
      </w:rPr>
    </w:lvl>
    <w:lvl w:ilvl="3">
      <w:start w:val="1"/>
      <w:numFmt w:val="decimal"/>
      <w:lvlText w:val="%4."/>
      <w:lvlJc w:val="left"/>
      <w:pPr>
        <w:ind w:left="2940" w:hanging="360"/>
      </w:pPr>
      <w:rPr>
        <w:vertAlign w:val="baseline"/>
      </w:rPr>
    </w:lvl>
    <w:lvl w:ilvl="4">
      <w:start w:val="1"/>
      <w:numFmt w:val="lowerLetter"/>
      <w:lvlText w:val="%5."/>
      <w:lvlJc w:val="left"/>
      <w:pPr>
        <w:ind w:left="3660" w:hanging="360"/>
      </w:pPr>
      <w:rPr>
        <w:vertAlign w:val="baseline"/>
      </w:rPr>
    </w:lvl>
    <w:lvl w:ilvl="5">
      <w:start w:val="1"/>
      <w:numFmt w:val="lowerRoman"/>
      <w:lvlText w:val="%6."/>
      <w:lvlJc w:val="right"/>
      <w:pPr>
        <w:ind w:left="4380" w:hanging="180"/>
      </w:pPr>
      <w:rPr>
        <w:vertAlign w:val="baseline"/>
      </w:rPr>
    </w:lvl>
    <w:lvl w:ilvl="6">
      <w:start w:val="1"/>
      <w:numFmt w:val="decimal"/>
      <w:lvlText w:val="%7."/>
      <w:lvlJc w:val="left"/>
      <w:pPr>
        <w:ind w:left="5100" w:hanging="360"/>
      </w:pPr>
      <w:rPr>
        <w:vertAlign w:val="baseline"/>
      </w:rPr>
    </w:lvl>
    <w:lvl w:ilvl="7">
      <w:start w:val="1"/>
      <w:numFmt w:val="lowerLetter"/>
      <w:lvlText w:val="%8."/>
      <w:lvlJc w:val="left"/>
      <w:pPr>
        <w:ind w:left="5820" w:hanging="360"/>
      </w:pPr>
      <w:rPr>
        <w:vertAlign w:val="baseline"/>
      </w:rPr>
    </w:lvl>
    <w:lvl w:ilvl="8">
      <w:start w:val="1"/>
      <w:numFmt w:val="lowerRoman"/>
      <w:lvlText w:val="%9."/>
      <w:lvlJc w:val="right"/>
      <w:pPr>
        <w:ind w:left="6540" w:hanging="180"/>
      </w:pPr>
      <w:rPr>
        <w:vertAlign w:val="baseline"/>
      </w:rPr>
    </w:lvl>
  </w:abstractNum>
  <w:abstractNum w:abstractNumId="16" w15:restartNumberingAfterBreak="0">
    <w:nsid w:val="48C917E8"/>
    <w:multiLevelType w:val="multilevel"/>
    <w:tmpl w:val="BC325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9615609"/>
    <w:multiLevelType w:val="multilevel"/>
    <w:tmpl w:val="DA1E55C2"/>
    <w:lvl w:ilvl="0">
      <w:start w:val="36"/>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D2A04E3"/>
    <w:multiLevelType w:val="multilevel"/>
    <w:tmpl w:val="52108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FF36569"/>
    <w:multiLevelType w:val="multilevel"/>
    <w:tmpl w:val="6756E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34D79F5"/>
    <w:multiLevelType w:val="multilevel"/>
    <w:tmpl w:val="E564E3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4EC3207"/>
    <w:multiLevelType w:val="multilevel"/>
    <w:tmpl w:val="06041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543864"/>
    <w:multiLevelType w:val="multilevel"/>
    <w:tmpl w:val="17BCD1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9DD397E"/>
    <w:multiLevelType w:val="multilevel"/>
    <w:tmpl w:val="87985F3C"/>
    <w:lvl w:ilvl="0">
      <w:start w:val="1"/>
      <w:numFmt w:val="bullet"/>
      <w:lvlText w:val="●"/>
      <w:lvlJc w:val="left"/>
      <w:pPr>
        <w:ind w:left="540" w:hanging="360"/>
      </w:pPr>
      <w:rPr>
        <w:rFonts w:ascii="Noto Sans Symbols" w:eastAsia="Noto Sans Symbols" w:hAnsi="Noto Sans Symbols" w:cs="Noto Sans Symbols"/>
        <w:vertAlign w:val="baseline"/>
      </w:rPr>
    </w:lvl>
    <w:lvl w:ilvl="1">
      <w:numFmt w:val="decimal"/>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24" w15:restartNumberingAfterBreak="0">
    <w:nsid w:val="5D9C7796"/>
    <w:multiLevelType w:val="multilevel"/>
    <w:tmpl w:val="29F29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594BB6"/>
    <w:multiLevelType w:val="multilevel"/>
    <w:tmpl w:val="A078C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951C46"/>
    <w:multiLevelType w:val="multilevel"/>
    <w:tmpl w:val="9C224FB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7" w15:restartNumberingAfterBreak="0">
    <w:nsid w:val="7B6D57A7"/>
    <w:multiLevelType w:val="multilevel"/>
    <w:tmpl w:val="C4FC8934"/>
    <w:lvl w:ilvl="0">
      <w:start w:val="3"/>
      <w:numFmt w:val="bullet"/>
      <w:lvlText w:val="-"/>
      <w:lvlJc w:val="left"/>
      <w:pPr>
        <w:ind w:left="720" w:hanging="360"/>
      </w:pPr>
      <w:rPr>
        <w:rFonts w:ascii="Times New Roman" w:eastAsia="Times New Roman" w:hAnsi="Times New Roman" w:cs="Times New Roman"/>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7D445E98"/>
    <w:multiLevelType w:val="multilevel"/>
    <w:tmpl w:val="8D046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1"/>
  </w:num>
  <w:num w:numId="2">
    <w:abstractNumId w:val="14"/>
  </w:num>
  <w:num w:numId="3">
    <w:abstractNumId w:val="25"/>
  </w:num>
  <w:num w:numId="4">
    <w:abstractNumId w:val="4"/>
  </w:num>
  <w:num w:numId="5">
    <w:abstractNumId w:val="3"/>
  </w:num>
  <w:num w:numId="6">
    <w:abstractNumId w:val="20"/>
  </w:num>
  <w:num w:numId="7">
    <w:abstractNumId w:val="0"/>
  </w:num>
  <w:num w:numId="8">
    <w:abstractNumId w:val="28"/>
  </w:num>
  <w:num w:numId="9">
    <w:abstractNumId w:val="18"/>
  </w:num>
  <w:num w:numId="10">
    <w:abstractNumId w:val="12"/>
  </w:num>
  <w:num w:numId="11">
    <w:abstractNumId w:val="16"/>
  </w:num>
  <w:num w:numId="12">
    <w:abstractNumId w:val="7"/>
  </w:num>
  <w:num w:numId="13">
    <w:abstractNumId w:val="9"/>
  </w:num>
  <w:num w:numId="14">
    <w:abstractNumId w:val="24"/>
  </w:num>
  <w:num w:numId="15">
    <w:abstractNumId w:val="15"/>
  </w:num>
  <w:num w:numId="16">
    <w:abstractNumId w:val="13"/>
  </w:num>
  <w:num w:numId="17">
    <w:abstractNumId w:val="17"/>
  </w:num>
  <w:num w:numId="18">
    <w:abstractNumId w:val="8"/>
  </w:num>
  <w:num w:numId="19">
    <w:abstractNumId w:val="23"/>
  </w:num>
  <w:num w:numId="20">
    <w:abstractNumId w:val="26"/>
  </w:num>
  <w:num w:numId="21">
    <w:abstractNumId w:val="27"/>
  </w:num>
  <w:num w:numId="22">
    <w:abstractNumId w:val="2"/>
  </w:num>
  <w:num w:numId="23">
    <w:abstractNumId w:val="6"/>
  </w:num>
  <w:num w:numId="24">
    <w:abstractNumId w:val="19"/>
  </w:num>
  <w:num w:numId="25">
    <w:abstractNumId w:val="11"/>
  </w:num>
  <w:num w:numId="26">
    <w:abstractNumId w:val="5"/>
  </w:num>
  <w:num w:numId="27">
    <w:abstractNumId w:val="10"/>
  </w:num>
  <w:num w:numId="28">
    <w:abstractNumId w:val="2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49F"/>
    <w:rsid w:val="00091E8B"/>
    <w:rsid w:val="0017698D"/>
    <w:rsid w:val="001D3EED"/>
    <w:rsid w:val="00307770"/>
    <w:rsid w:val="00445E8A"/>
    <w:rsid w:val="004E137F"/>
    <w:rsid w:val="00510CAE"/>
    <w:rsid w:val="005D6DAD"/>
    <w:rsid w:val="005E38DB"/>
    <w:rsid w:val="006941B7"/>
    <w:rsid w:val="00733C02"/>
    <w:rsid w:val="007C07AA"/>
    <w:rsid w:val="007E149F"/>
    <w:rsid w:val="00884124"/>
    <w:rsid w:val="00901A97"/>
    <w:rsid w:val="00922A0B"/>
    <w:rsid w:val="00A376CD"/>
    <w:rsid w:val="00AD2171"/>
    <w:rsid w:val="00B358F2"/>
    <w:rsid w:val="00C37401"/>
    <w:rsid w:val="00DA4BFF"/>
    <w:rsid w:val="00DF4ED8"/>
    <w:rsid w:val="00EB2EDC"/>
    <w:rsid w:val="00F055C0"/>
    <w:rsid w:val="00FA726B"/>
    <w:rsid w:val="00FC0D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6EC90"/>
  <w15:docId w15:val="{C053990D-86AF-4AC1-86EF-7FC17636B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overflowPunct w:val="0"/>
      <w:autoSpaceDE w:val="0"/>
      <w:autoSpaceDN w:val="0"/>
      <w:adjustRightInd w:val="0"/>
      <w:spacing w:line="1" w:lineRule="atLeast"/>
      <w:ind w:leftChars="-1" w:left="-1" w:hangingChars="1" w:hanging="1"/>
      <w:textDirection w:val="btLr"/>
      <w:textAlignment w:val="baseline"/>
      <w:outlineLvl w:val="0"/>
    </w:pPr>
    <w:rPr>
      <w:rFonts w:ascii="Antiqua" w:hAnsi="Antiqua"/>
      <w:position w:val="-1"/>
      <w:sz w:val="28"/>
      <w:lang w:val="hr-HR" w:eastAsia="ru-RU"/>
    </w:rPr>
  </w:style>
  <w:style w:type="paragraph" w:styleId="1">
    <w:name w:val="heading 1"/>
    <w:basedOn w:val="a"/>
    <w:next w:val="a"/>
    <w:pPr>
      <w:keepNext/>
      <w:keepLines/>
      <w:overflowPunct/>
      <w:autoSpaceDE/>
      <w:autoSpaceDN/>
      <w:adjustRightInd/>
      <w:spacing w:before="240" w:line="276" w:lineRule="auto"/>
      <w:textAlignment w:val="auto"/>
    </w:pPr>
    <w:rPr>
      <w:rFonts w:ascii="Cambria" w:hAnsi="Cambria"/>
      <w:color w:val="306785"/>
      <w:sz w:val="32"/>
      <w:szCs w:val="32"/>
      <w:lang w:val="uk-UA" w:eastAsia="en-US"/>
    </w:rPr>
  </w:style>
  <w:style w:type="paragraph" w:styleId="2">
    <w:name w:val="heading 2"/>
    <w:basedOn w:val="a"/>
    <w:next w:val="a"/>
    <w:pPr>
      <w:keepNext/>
      <w:keepLines/>
      <w:overflowPunct/>
      <w:autoSpaceDE/>
      <w:autoSpaceDN/>
      <w:adjustRightInd/>
      <w:spacing w:before="360" w:after="120" w:line="276" w:lineRule="auto"/>
      <w:textAlignment w:val="auto"/>
      <w:outlineLvl w:val="1"/>
    </w:pPr>
    <w:rPr>
      <w:rFonts w:ascii="Arial" w:eastAsia="Arial" w:hAnsi="Arial" w:cs="Arial"/>
      <w:sz w:val="32"/>
      <w:szCs w:val="32"/>
      <w:lang w:eastAsia="uk-UA"/>
    </w:rPr>
  </w:style>
  <w:style w:type="paragraph" w:styleId="3">
    <w:name w:val="heading 3"/>
    <w:basedOn w:val="a"/>
    <w:next w:val="a"/>
    <w:pPr>
      <w:keepNext/>
      <w:keepLines/>
      <w:overflowPunct/>
      <w:autoSpaceDE/>
      <w:autoSpaceDN/>
      <w:adjustRightInd/>
      <w:spacing w:before="320" w:after="80" w:line="276" w:lineRule="auto"/>
      <w:textAlignment w:val="auto"/>
      <w:outlineLvl w:val="2"/>
    </w:pPr>
    <w:rPr>
      <w:rFonts w:ascii="Arial" w:eastAsia="Arial" w:hAnsi="Arial" w:cs="Arial"/>
      <w:color w:val="434343"/>
      <w:szCs w:val="28"/>
      <w:lang w:eastAsia="uk-UA"/>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character" w:customStyle="1" w:styleId="10">
    <w:name w:val="Заголовок 1 Знак"/>
    <w:rPr>
      <w:rFonts w:ascii="Cambria" w:hAnsi="Cambria"/>
      <w:color w:val="306785"/>
      <w:w w:val="100"/>
      <w:position w:val="-1"/>
      <w:sz w:val="32"/>
      <w:szCs w:val="32"/>
      <w:effect w:val="none"/>
      <w:vertAlign w:val="baseline"/>
      <w:cs w:val="0"/>
      <w:em w:val="none"/>
      <w:lang w:eastAsia="en-US"/>
    </w:rPr>
  </w:style>
  <w:style w:type="character" w:customStyle="1" w:styleId="20">
    <w:name w:val="Заголовок 2 Знак"/>
    <w:rPr>
      <w:rFonts w:ascii="Arial" w:eastAsia="Arial" w:hAnsi="Arial" w:cs="Arial"/>
      <w:w w:val="100"/>
      <w:position w:val="-1"/>
      <w:sz w:val="32"/>
      <w:szCs w:val="32"/>
      <w:effect w:val="none"/>
      <w:vertAlign w:val="baseline"/>
      <w:cs w:val="0"/>
      <w:em w:val="none"/>
    </w:rPr>
  </w:style>
  <w:style w:type="character" w:customStyle="1" w:styleId="30">
    <w:name w:val="Заголовок 3 Знак"/>
    <w:rPr>
      <w:rFonts w:ascii="Arial" w:eastAsia="Arial" w:hAnsi="Arial" w:cs="Arial"/>
      <w:color w:val="434343"/>
      <w:w w:val="100"/>
      <w:position w:val="-1"/>
      <w:sz w:val="28"/>
      <w:szCs w:val="28"/>
      <w:effect w:val="none"/>
      <w:vertAlign w:val="baseline"/>
      <w:cs w:val="0"/>
      <w:em w:val="none"/>
    </w:rPr>
  </w:style>
  <w:style w:type="paragraph" w:customStyle="1" w:styleId="a4">
    <w:name w:val="Знак"/>
    <w:basedOn w:val="a"/>
    <w:pPr>
      <w:overflowPunct/>
      <w:autoSpaceDE/>
      <w:autoSpaceDN/>
      <w:adjustRightInd/>
      <w:textAlignment w:val="auto"/>
    </w:pPr>
    <w:rPr>
      <w:rFonts w:ascii="Verdana" w:hAnsi="Verdana"/>
      <w:sz w:val="20"/>
      <w:lang w:val="en-US" w:eastAsia="en-US"/>
    </w:rPr>
  </w:style>
  <w:style w:type="paragraph" w:styleId="a5">
    <w:name w:val="header"/>
    <w:basedOn w:val="a"/>
    <w:pPr>
      <w:tabs>
        <w:tab w:val="center" w:pos="4677"/>
        <w:tab w:val="right" w:pos="9355"/>
      </w:tabs>
    </w:pPr>
  </w:style>
  <w:style w:type="character" w:customStyle="1" w:styleId="a6">
    <w:name w:val="Верхний колонтитул Знак"/>
    <w:rPr>
      <w:rFonts w:ascii="Antiqua" w:hAnsi="Antiqua"/>
      <w:w w:val="100"/>
      <w:position w:val="-1"/>
      <w:sz w:val="28"/>
      <w:effect w:val="none"/>
      <w:vertAlign w:val="baseline"/>
      <w:cs w:val="0"/>
      <w:em w:val="none"/>
      <w:lang w:val="hr-HR" w:eastAsia="ru-RU"/>
    </w:rPr>
  </w:style>
  <w:style w:type="character" w:styleId="a7">
    <w:name w:val="page number"/>
    <w:basedOn w:val="a0"/>
    <w:rPr>
      <w:w w:val="100"/>
      <w:position w:val="-1"/>
      <w:effect w:val="none"/>
      <w:vertAlign w:val="baseline"/>
      <w:cs w:val="0"/>
      <w:em w:val="none"/>
    </w:rPr>
  </w:style>
  <w:style w:type="paragraph" w:customStyle="1" w:styleId="a8">
    <w:name w:val="Основной текст с отступом;Подпись к рис.;Ïîäïèñü ê ðèñ."/>
    <w:basedOn w:val="a"/>
    <w:pPr>
      <w:overflowPunct/>
      <w:autoSpaceDE/>
      <w:autoSpaceDN/>
      <w:adjustRightInd/>
      <w:ind w:firstLine="708"/>
      <w:jc w:val="both"/>
      <w:textAlignment w:val="auto"/>
    </w:pPr>
    <w:rPr>
      <w:rFonts w:ascii="Times New Roman" w:hAnsi="Times New Roman"/>
      <w:lang w:val="uk-UA"/>
    </w:rPr>
  </w:style>
  <w:style w:type="character" w:customStyle="1" w:styleId="a9">
    <w:name w:val="Основной текст с отступом Знак;Подпись к рис. Знак;Ïîäïèñü ê ðèñ. Знак"/>
    <w:rPr>
      <w:w w:val="100"/>
      <w:position w:val="-1"/>
      <w:sz w:val="28"/>
      <w:effect w:val="none"/>
      <w:vertAlign w:val="baseline"/>
      <w:cs w:val="0"/>
      <w:em w:val="none"/>
      <w:lang w:val="uk-UA"/>
    </w:rPr>
  </w:style>
  <w:style w:type="paragraph" w:styleId="21">
    <w:name w:val="Body Text Indent 2"/>
    <w:basedOn w:val="a"/>
    <w:pPr>
      <w:overflowPunct/>
      <w:autoSpaceDE/>
      <w:autoSpaceDN/>
      <w:adjustRightInd/>
      <w:ind w:firstLine="720"/>
      <w:jc w:val="both"/>
      <w:textAlignment w:val="auto"/>
    </w:pPr>
    <w:rPr>
      <w:rFonts w:ascii="Times New Roman" w:hAnsi="Times New Roman"/>
      <w:lang w:val="uk-UA"/>
    </w:rPr>
  </w:style>
  <w:style w:type="character" w:customStyle="1" w:styleId="22">
    <w:name w:val="Основной текст с отступом 2 Знак"/>
    <w:rPr>
      <w:w w:val="100"/>
      <w:position w:val="-1"/>
      <w:sz w:val="28"/>
      <w:effect w:val="none"/>
      <w:vertAlign w:val="baseline"/>
      <w:cs w:val="0"/>
      <w:em w:val="none"/>
      <w:lang w:val="uk-UA"/>
    </w:rPr>
  </w:style>
  <w:style w:type="paragraph" w:styleId="aa">
    <w:name w:val="Balloon Text"/>
    <w:basedOn w:val="a"/>
    <w:rPr>
      <w:rFonts w:ascii="Tahoma" w:hAnsi="Tahoma"/>
      <w:sz w:val="16"/>
      <w:szCs w:val="16"/>
    </w:rPr>
  </w:style>
  <w:style w:type="character" w:customStyle="1" w:styleId="ab">
    <w:name w:val="Текст выноски Знак"/>
    <w:rPr>
      <w:rFonts w:ascii="Tahoma" w:hAnsi="Tahoma" w:cs="Tahoma"/>
      <w:w w:val="100"/>
      <w:position w:val="-1"/>
      <w:sz w:val="16"/>
      <w:szCs w:val="16"/>
      <w:effect w:val="none"/>
      <w:vertAlign w:val="baseline"/>
      <w:cs w:val="0"/>
      <w:em w:val="none"/>
      <w:lang w:val="hr-HR"/>
    </w:rPr>
  </w:style>
  <w:style w:type="paragraph" w:styleId="ac">
    <w:name w:val="List Paragraph"/>
    <w:basedOn w:val="a"/>
    <w:pPr>
      <w:overflowPunct/>
      <w:autoSpaceDE/>
      <w:autoSpaceDN/>
      <w:adjustRightInd/>
      <w:spacing w:after="200" w:line="276" w:lineRule="auto"/>
      <w:ind w:left="720"/>
      <w:contextualSpacing/>
      <w:textAlignment w:val="auto"/>
    </w:pPr>
    <w:rPr>
      <w:rFonts w:ascii="Calibri" w:hAnsi="Calibri"/>
      <w:sz w:val="22"/>
      <w:szCs w:val="22"/>
      <w:lang w:val="uk-UA" w:eastAsia="uk-UA"/>
    </w:rPr>
  </w:style>
  <w:style w:type="paragraph" w:customStyle="1" w:styleId="ad">
    <w:name w:val="Нормальний текст"/>
    <w:basedOn w:val="a"/>
    <w:pPr>
      <w:overflowPunct/>
      <w:autoSpaceDE/>
      <w:autoSpaceDN/>
      <w:adjustRightInd/>
      <w:spacing w:before="120"/>
      <w:ind w:firstLine="567"/>
      <w:textAlignment w:val="auto"/>
    </w:pPr>
    <w:rPr>
      <w:sz w:val="26"/>
      <w:lang w:val="uk-UA"/>
    </w:rPr>
  </w:style>
  <w:style w:type="paragraph" w:styleId="ae">
    <w:name w:val="footer"/>
    <w:basedOn w:val="a"/>
    <w:pPr>
      <w:tabs>
        <w:tab w:val="center" w:pos="4677"/>
        <w:tab w:val="right" w:pos="9355"/>
      </w:tabs>
    </w:pPr>
  </w:style>
  <w:style w:type="character" w:customStyle="1" w:styleId="af">
    <w:name w:val="Нижний колонтитул Знак"/>
    <w:rPr>
      <w:rFonts w:ascii="Antiqua" w:hAnsi="Antiqua"/>
      <w:w w:val="100"/>
      <w:position w:val="-1"/>
      <w:sz w:val="28"/>
      <w:effect w:val="none"/>
      <w:vertAlign w:val="baseline"/>
      <w:cs w:val="0"/>
      <w:em w:val="none"/>
      <w:lang w:val="hr-HR"/>
    </w:rPr>
  </w:style>
  <w:style w:type="paragraph" w:styleId="af0">
    <w:name w:val="Body Text"/>
    <w:basedOn w:val="a"/>
    <w:pPr>
      <w:spacing w:after="120"/>
    </w:pPr>
  </w:style>
  <w:style w:type="character" w:customStyle="1" w:styleId="af1">
    <w:name w:val="Основной текст Знак"/>
    <w:rPr>
      <w:rFonts w:ascii="Antiqua" w:hAnsi="Antiqua"/>
      <w:w w:val="100"/>
      <w:position w:val="-1"/>
      <w:sz w:val="28"/>
      <w:effect w:val="none"/>
      <w:vertAlign w:val="baseline"/>
      <w:cs w:val="0"/>
      <w:em w:val="none"/>
      <w:lang w:val="hr-HR" w:eastAsia="ru-RU"/>
    </w:rPr>
  </w:style>
  <w:style w:type="paragraph" w:styleId="af2">
    <w:name w:val="Normal (Web)"/>
    <w:basedOn w:val="a"/>
    <w:qFormat/>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character" w:styleId="af3">
    <w:name w:val="Strong"/>
    <w:rPr>
      <w:b/>
      <w:bCs/>
      <w:w w:val="100"/>
      <w:position w:val="-1"/>
      <w:effect w:val="none"/>
      <w:vertAlign w:val="baseline"/>
      <w:cs w:val="0"/>
      <w:em w:val="none"/>
    </w:rPr>
  </w:style>
  <w:style w:type="table" w:customStyle="1" w:styleId="TableNormal0">
    <w:name w:val="Table Normal"/>
    <w:next w:val="TableNormal"/>
    <w:qFormat/>
    <w:pPr>
      <w:widowControl w:val="0"/>
      <w:suppressAutoHyphens/>
      <w:autoSpaceDE w:val="0"/>
      <w:autoSpaceDN w:val="0"/>
      <w:spacing w:line="1" w:lineRule="atLeast"/>
      <w:ind w:leftChars="-1" w:left="-1" w:hangingChars="1" w:hanging="1"/>
      <w:textDirection w:val="btLr"/>
      <w:textAlignment w:val="top"/>
      <w:outlineLvl w:val="0"/>
    </w:pPr>
    <w:rPr>
      <w:rFonts w:ascii="Calibri" w:eastAsia="Calibri" w:hAnsi="Calibri"/>
      <w:position w:val="-1"/>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pPr>
      <w:widowControl w:val="0"/>
      <w:overflowPunct/>
      <w:adjustRightInd/>
      <w:spacing w:line="304" w:lineRule="atLeast"/>
      <w:ind w:left="107"/>
      <w:textAlignment w:val="auto"/>
    </w:pPr>
    <w:rPr>
      <w:rFonts w:ascii="Times New Roman" w:hAnsi="Times New Roman"/>
      <w:sz w:val="22"/>
      <w:szCs w:val="22"/>
      <w:lang w:val="uk-UA" w:eastAsia="en-US"/>
    </w:rPr>
  </w:style>
  <w:style w:type="paragraph" w:styleId="af4">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uk-UA"/>
    </w:rPr>
  </w:style>
  <w:style w:type="character" w:customStyle="1" w:styleId="af5">
    <w:name w:val="Без интервала Знак"/>
    <w:rPr>
      <w:rFonts w:ascii="Calibri" w:hAnsi="Calibri"/>
      <w:w w:val="100"/>
      <w:position w:val="-1"/>
      <w:sz w:val="22"/>
      <w:szCs w:val="22"/>
      <w:effect w:val="none"/>
      <w:vertAlign w:val="baseline"/>
      <w:cs w:val="0"/>
      <w:em w:val="none"/>
    </w:rPr>
  </w:style>
  <w:style w:type="character" w:customStyle="1" w:styleId="uv3um">
    <w:name w:val="uv3um"/>
    <w:rPr>
      <w:w w:val="100"/>
      <w:position w:val="-1"/>
      <w:effect w:val="none"/>
      <w:vertAlign w:val="baseline"/>
      <w:cs w:val="0"/>
      <w:em w:val="none"/>
    </w:rPr>
  </w:style>
  <w:style w:type="table" w:styleId="af6">
    <w:name w:val="Table Grid"/>
    <w:basedOn w:val="a1"/>
    <w:pPr>
      <w:suppressAutoHyphens/>
      <w:spacing w:line="1" w:lineRule="atLeast"/>
      <w:ind w:leftChars="-1" w:left="-1" w:hangingChars="1" w:hanging="1"/>
      <w:textDirection w:val="btLr"/>
      <w:textAlignment w:val="top"/>
      <w:outlineLvl w:val="0"/>
    </w:pPr>
    <w:rPr>
      <w:rFonts w:ascii="Calibri" w:eastAsia="Calibri" w:hAnsi="Calibri"/>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Обычный2"/>
    <w:pPr>
      <w:suppressAutoHyphens/>
      <w:spacing w:line="1" w:lineRule="atLeast"/>
      <w:ind w:leftChars="-1" w:left="-1" w:hangingChars="1" w:hanging="1"/>
      <w:textDirection w:val="btLr"/>
      <w:textAlignment w:val="top"/>
      <w:outlineLvl w:val="0"/>
    </w:pPr>
    <w:rPr>
      <w:position w:val="-1"/>
      <w:lang w:val="uk-UA" w:eastAsia="ru-RU"/>
    </w:rPr>
  </w:style>
  <w:style w:type="character" w:styleId="af7">
    <w:name w:val="Hyperlink"/>
    <w:rPr>
      <w:color w:val="0563C1"/>
      <w:w w:val="100"/>
      <w:position w:val="-1"/>
      <w:u w:val="single"/>
      <w:effect w:val="none"/>
      <w:vertAlign w:val="baseline"/>
      <w:cs w:val="0"/>
      <w:em w:val="none"/>
    </w:rPr>
  </w:style>
  <w:style w:type="character" w:customStyle="1" w:styleId="rvts9">
    <w:name w:val="rvts9"/>
    <w:rPr>
      <w:w w:val="100"/>
      <w:position w:val="-1"/>
      <w:effect w:val="none"/>
      <w:vertAlign w:val="baseline"/>
      <w:cs w:val="0"/>
      <w:em w:val="none"/>
    </w:rPr>
  </w:style>
  <w:style w:type="paragraph" w:customStyle="1" w:styleId="rvps2">
    <w:name w:val="rvps2"/>
    <w:basedOn w:val="a"/>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character" w:customStyle="1" w:styleId="apple-tab-span">
    <w:name w:val="apple-tab-span"/>
    <w:rPr>
      <w:w w:val="100"/>
      <w:position w:val="-1"/>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docdata4089baiaagaaboqcaaadlw4aaau9dgaaaaaaaaaaaaaaaaaaaaaaaaaaaaaaaaaaaaaaaaaaaaaaaaaaaaaaaaaaaaaaaaaaaaaaaaaaaaaaaaaaaaaaaaaaaaaaaaaaaaaaaaaaaaaaaaaaaaaaaaaaaaaaaaaaaaaaaaaaaaaaaaaaaaaaaaaaaaaaaaaaaaaaaaaaaaaaaaaaaaaaaaaaaaaaaaaaaaaaaaaaaaaa2455">
    <w:name w:val="docdata;4089;baiaagaaboqcaaadlw4aaau9dgaaaaaaaaaaaaaaaaaaaaaaaaaaaaaaaaaaaaaaaaaaaaaaaaaaaaaaaaaaaaaaaaaaaaaaaaaaaaaaaaaaaaaaaaaaaaaaaaaaaaaaaaaaaaaaaaaaaaaaaaaaaaaaaaaaaaaaaaaaaaaaaaaaaaaaaaaaaaaaaaaaaaaaaaaaaaaaaaaaaaaaaaaaaaaaaaaaaaaaaaaaaaaa;2455"/>
    <w:rPr>
      <w:w w:val="100"/>
      <w:position w:val="-1"/>
      <w:effect w:val="none"/>
      <w:vertAlign w:val="baseline"/>
      <w:cs w:val="0"/>
      <w:em w:val="none"/>
    </w:rPr>
  </w:style>
  <w:style w:type="character" w:customStyle="1" w:styleId="af8">
    <w:name w:val="Виділення"/>
    <w:rPr>
      <w:i/>
      <w:iCs/>
      <w:w w:val="100"/>
      <w:position w:val="-1"/>
      <w:effect w:val="none"/>
      <w:vertAlign w:val="baseline"/>
      <w:cs w:val="0"/>
      <w:em w:val="none"/>
    </w:rPr>
  </w:style>
  <w:style w:type="character" w:customStyle="1" w:styleId="textexposedshow">
    <w:name w:val="text_exposed_show"/>
    <w:rPr>
      <w:w w:val="100"/>
      <w:position w:val="-1"/>
      <w:effect w:val="none"/>
      <w:vertAlign w:val="baseline"/>
      <w:cs w:val="0"/>
      <w:em w:val="none"/>
    </w:rPr>
  </w:style>
  <w:style w:type="paragraph" w:customStyle="1" w:styleId="WW-2">
    <w:name w:val="WW-Основной текст с отступом 2"/>
    <w:basedOn w:val="a"/>
    <w:pPr>
      <w:suppressAutoHyphens w:val="0"/>
      <w:overflowPunct/>
      <w:autoSpaceDE/>
      <w:autoSpaceDN/>
      <w:adjustRightInd/>
      <w:ind w:left="993" w:hanging="142"/>
      <w:textAlignment w:val="auto"/>
    </w:pPr>
    <w:rPr>
      <w:rFonts w:ascii="Times New Roman" w:hAnsi="Times New Roman"/>
      <w:sz w:val="20"/>
      <w:szCs w:val="24"/>
      <w:lang w:val="uk-UA" w:eastAsia="ar-SA"/>
    </w:rPr>
  </w:style>
  <w:style w:type="paragraph" w:customStyle="1" w:styleId="11">
    <w:name w:val="Обычный1"/>
    <w:pPr>
      <w:suppressAutoHyphens/>
      <w:spacing w:line="276" w:lineRule="auto"/>
      <w:ind w:leftChars="-1" w:left="-1" w:hangingChars="1" w:hanging="1"/>
      <w:textDirection w:val="btLr"/>
      <w:textAlignment w:val="top"/>
      <w:outlineLvl w:val="0"/>
    </w:pPr>
    <w:rPr>
      <w:rFonts w:ascii="Arial" w:eastAsia="Arial" w:hAnsi="Arial" w:cs="Arial"/>
      <w:position w:val="-1"/>
      <w:sz w:val="22"/>
      <w:szCs w:val="22"/>
      <w:lang w:val="ru-RU" w:eastAsia="ru-RU"/>
    </w:rPr>
  </w:style>
  <w:style w:type="paragraph" w:customStyle="1" w:styleId="af9">
    <w:name w:val="Знак"/>
    <w:basedOn w:val="a"/>
    <w:pPr>
      <w:overflowPunct/>
      <w:autoSpaceDE/>
      <w:autoSpaceDN/>
      <w:adjustRightInd/>
      <w:textAlignment w:val="auto"/>
    </w:pPr>
    <w:rPr>
      <w:rFonts w:ascii="Verdana" w:hAnsi="Verdana"/>
      <w:sz w:val="20"/>
      <w:lang w:val="en-US" w:eastAsia="en-US"/>
    </w:rPr>
  </w:style>
  <w:style w:type="paragraph" w:customStyle="1" w:styleId="12">
    <w:name w:val="Абзац списка1"/>
    <w:basedOn w:val="a"/>
    <w:pPr>
      <w:overflowPunct/>
      <w:autoSpaceDE/>
      <w:autoSpaceDN/>
      <w:adjustRightInd/>
      <w:spacing w:after="200" w:line="276" w:lineRule="auto"/>
      <w:ind w:left="720"/>
      <w:contextualSpacing/>
      <w:textAlignment w:val="auto"/>
    </w:pPr>
    <w:rPr>
      <w:rFonts w:ascii="Calibri" w:hAnsi="Calibri"/>
      <w:sz w:val="22"/>
      <w:szCs w:val="22"/>
      <w:lang w:val="uk-UA" w:eastAsia="en-US"/>
    </w:rPr>
  </w:style>
  <w:style w:type="character" w:styleId="afa">
    <w:name w:val="Emphasis"/>
    <w:rPr>
      <w:i/>
      <w:iCs/>
      <w:w w:val="100"/>
      <w:position w:val="-1"/>
      <w:effect w:val="none"/>
      <w:vertAlign w:val="baseline"/>
      <w:cs w:val="0"/>
      <w:em w:val="none"/>
    </w:rPr>
  </w:style>
  <w:style w:type="paragraph" w:customStyle="1" w:styleId="31">
    <w:name w:val="3"/>
    <w:basedOn w:val="a"/>
    <w:pPr>
      <w:overflowPunct/>
      <w:autoSpaceDE/>
      <w:autoSpaceDN/>
      <w:adjustRightInd/>
      <w:spacing w:before="100" w:beforeAutospacing="1" w:after="100" w:afterAutospacing="1"/>
      <w:textAlignment w:val="auto"/>
    </w:pPr>
    <w:rPr>
      <w:rFonts w:ascii="Times New Roman" w:hAnsi="Times New Roman"/>
      <w:sz w:val="24"/>
      <w:szCs w:val="24"/>
      <w:lang w:val="en-US" w:eastAsia="en-US"/>
    </w:rPr>
  </w:style>
  <w:style w:type="paragraph" w:customStyle="1" w:styleId="default">
    <w:name w:val="default"/>
    <w:basedOn w:val="a"/>
    <w:pPr>
      <w:overflowPunct/>
      <w:autoSpaceDE/>
      <w:autoSpaceDN/>
      <w:adjustRightInd/>
      <w:spacing w:before="100" w:beforeAutospacing="1" w:after="100" w:afterAutospacing="1"/>
      <w:textAlignment w:val="auto"/>
    </w:pPr>
    <w:rPr>
      <w:rFonts w:ascii="Times New Roman" w:hAnsi="Times New Roman"/>
      <w:sz w:val="24"/>
      <w:szCs w:val="24"/>
      <w:lang w:val="uk-UA" w:eastAsia="uk-UA"/>
    </w:rPr>
  </w:style>
  <w:style w:type="paragraph" w:customStyle="1" w:styleId="210">
    <w:name w:val="Основной текст 21"/>
    <w:basedOn w:val="a"/>
    <w:pPr>
      <w:suppressAutoHyphens w:val="0"/>
      <w:overflowPunct/>
      <w:autoSpaceDE/>
      <w:autoSpaceDN/>
      <w:adjustRightInd/>
      <w:spacing w:after="120" w:line="100" w:lineRule="atLeast"/>
      <w:ind w:left="283"/>
      <w:jc w:val="both"/>
      <w:textAlignment w:val="auto"/>
    </w:pPr>
    <w:rPr>
      <w:rFonts w:ascii="Times New Roman" w:hAnsi="Times New Roman"/>
      <w:sz w:val="26"/>
      <w:szCs w:val="26"/>
      <w:lang w:val="uk-UA" w:eastAsia="zh-CN"/>
    </w:rPr>
  </w:style>
  <w:style w:type="paragraph" w:styleId="afb">
    <w:name w:val="footnote text"/>
    <w:basedOn w:val="a"/>
    <w:qFormat/>
    <w:pPr>
      <w:overflowPunct/>
      <w:autoSpaceDE/>
      <w:autoSpaceDN/>
      <w:adjustRightInd/>
      <w:textAlignment w:val="auto"/>
    </w:pPr>
    <w:rPr>
      <w:rFonts w:ascii="Times New Roman" w:hAnsi="Times New Roman"/>
      <w:sz w:val="20"/>
      <w:lang w:val="ru-RU"/>
    </w:rPr>
  </w:style>
  <w:style w:type="character" w:customStyle="1" w:styleId="afc">
    <w:name w:val="Текст сноски Знак"/>
    <w:rPr>
      <w:w w:val="100"/>
      <w:position w:val="-1"/>
      <w:effect w:val="none"/>
      <w:vertAlign w:val="baseline"/>
      <w:cs w:val="0"/>
      <w:em w:val="none"/>
      <w:lang w:val="ru-RU" w:eastAsia="ru-RU"/>
    </w:rPr>
  </w:style>
  <w:style w:type="paragraph" w:styleId="afd">
    <w:name w:val="Subtitle"/>
    <w:basedOn w:val="a"/>
    <w:next w:val="a"/>
    <w:pPr>
      <w:keepNext/>
      <w:keepLines/>
      <w:spacing w:before="360" w:after="80"/>
    </w:pPr>
    <w:rPr>
      <w:rFonts w:ascii="Georgia" w:eastAsia="Georgia" w:hAnsi="Georgia" w:cs="Georgia"/>
      <w:i/>
      <w:iCs/>
      <w:color w:val="666666"/>
      <w:sz w:val="48"/>
      <w:szCs w:val="48"/>
    </w:r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08" w:type="dxa"/>
        <w:right w:w="108" w:type="dxa"/>
      </w:tblCellMar>
    </w:tblPr>
  </w:style>
  <w:style w:type="table" w:customStyle="1" w:styleId="aff2">
    <w:basedOn w:val="TableNormal0"/>
    <w:tblPr>
      <w:tblStyleRowBandSize w:val="1"/>
      <w:tblStyleColBandSize w:val="1"/>
      <w:tblCellMar>
        <w:left w:w="108" w:type="dxa"/>
        <w:right w:w="108" w:type="dxa"/>
      </w:tblCellMar>
    </w:tblPr>
  </w:style>
  <w:style w:type="table" w:customStyle="1" w:styleId="aff3">
    <w:basedOn w:val="TableNormal0"/>
    <w:tblPr>
      <w:tblStyleRowBandSize w:val="1"/>
      <w:tblStyleColBandSize w:val="1"/>
      <w:tblCellMar>
        <w:left w:w="108" w:type="dxa"/>
        <w:right w:w="108" w:type="dxa"/>
      </w:tblCellMar>
    </w:tbl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335-2019-%D0%BF" TargetMode="External"/><Relationship Id="rId13" Type="http://schemas.openxmlformats.org/officeDocument/2006/relationships/hyperlink" Target="https://zakon.rada.gov.ua/laws/show/751-2024-%D0%BF" TargetMode="External"/><Relationship Id="rId18" Type="http://schemas.openxmlformats.org/officeDocument/2006/relationships/hyperlink" Target="http://boiarka-rada.gov.ua"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zakon.rada.gov.ua/laws/show/244-2024-%D1%80" TargetMode="External"/><Relationship Id="rId17" Type="http://schemas.openxmlformats.org/officeDocument/2006/relationships/hyperlink" Target="https://boiarka-rada.gov.ua/gromada/gromada/strategiya-polityky-plans/" TargetMode="External"/><Relationship Id="rId2" Type="http://schemas.openxmlformats.org/officeDocument/2006/relationships/numbering" Target="numbering.xml"/><Relationship Id="rId16" Type="http://schemas.openxmlformats.org/officeDocument/2006/relationships/hyperlink" Target="https://boiarka-rada.gov.ua/gromada/gromada/strategiya-polityky-plans/" TargetMode="External"/><Relationship Id="rId20" Type="http://schemas.openxmlformats.org/officeDocument/2006/relationships/hyperlink" Target="https://www.kmu.gov.ua/npas/pro-skhvalennia-kontseptsii-bezpeky-zakladiv-osvity-i070423-30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817-2025-%D1%8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koda.gov.ua/wp-content/uploads/2025/03/strategiya-ko-2021-2027-nova-redakcziya-1.pdf" TargetMode="External"/><Relationship Id="rId23" Type="http://schemas.openxmlformats.org/officeDocument/2006/relationships/fontTable" Target="fontTable.xml"/><Relationship Id="rId10" Type="http://schemas.openxmlformats.org/officeDocument/2006/relationships/hyperlink" Target="https://zakon.rada.gov.ua/laws/show/695-2020-%D0%BF" TargetMode="External"/><Relationship Id="rId19" Type="http://schemas.openxmlformats.org/officeDocument/2006/relationships/hyperlink" Target="http://doc.boiarka-rada.gov.ua" TargetMode="External"/><Relationship Id="rId4" Type="http://schemas.openxmlformats.org/officeDocument/2006/relationships/settings" Target="settings.xml"/><Relationship Id="rId9" Type="http://schemas.openxmlformats.org/officeDocument/2006/relationships/hyperlink" Target="https://zakon.rada.gov.ua/laws/show/722/2019" TargetMode="External"/><Relationship Id="rId14" Type="http://schemas.openxmlformats.org/officeDocument/2006/relationships/hyperlink" Target="https://zakon.rada.gov.ua/laws/show/443-2021-%D1%80" TargetMode="External"/><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kBB8WytWG1gFU/AeVT6672h3g==">CgMxLjAyDmguYzF0OHhrbGRzMW9tMg9pZC53cGswaXNqcHc1MngyDmgubDFtcnhybTEwanltOAByITFXYjFCekJmdHc5VWx1NmJDMC1wR1hSTzFDLWgwem91Tw==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127</Pages>
  <Words>136077</Words>
  <Characters>77564</Characters>
  <Application>Microsoft Office Word</Application>
  <DocSecurity>0</DocSecurity>
  <Lines>646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oem2</dc:creator>
  <cp:lastModifiedBy>Алла Ліщук</cp:lastModifiedBy>
  <cp:revision>10</cp:revision>
  <cp:lastPrinted>2025-12-15T08:03:00Z</cp:lastPrinted>
  <dcterms:created xsi:type="dcterms:W3CDTF">2025-11-28T12:35:00Z</dcterms:created>
  <dcterms:modified xsi:type="dcterms:W3CDTF">2025-12-22T14:27:00Z</dcterms:modified>
</cp:coreProperties>
</file>