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1F461C"/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864CBD">
        <w:rPr>
          <w:b/>
          <w:color w:val="000000"/>
          <w:sz w:val="28"/>
          <w:szCs w:val="28"/>
          <w:lang w:val="uk-UA" w:eastAsia="ru-RU"/>
        </w:rPr>
        <w:t>79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002E81" w:rsidRDefault="001F461C" w:rsidP="001F461C">
      <w:pPr>
        <w:jc w:val="center"/>
        <w:rPr>
          <w:rFonts w:eastAsia="Arial Unicode MS"/>
          <w:b/>
          <w:sz w:val="28"/>
          <w:szCs w:val="28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864CBD">
        <w:rPr>
          <w:rFonts w:eastAsia="Arial Unicode MS"/>
          <w:b/>
          <w:sz w:val="28"/>
          <w:szCs w:val="28"/>
          <w:lang w:val="ru-RU"/>
        </w:rPr>
        <w:t>79/</w:t>
      </w:r>
      <w:r w:rsidR="00002E81" w:rsidRPr="00002E81">
        <w:rPr>
          <w:rFonts w:eastAsia="Arial Unicode MS"/>
          <w:b/>
          <w:sz w:val="28"/>
          <w:szCs w:val="28"/>
          <w:lang w:val="ru-RU"/>
        </w:rPr>
        <w:t>4</w:t>
      </w:r>
      <w:r w:rsidR="00002E81">
        <w:rPr>
          <w:rFonts w:eastAsia="Arial Unicode MS"/>
          <w:b/>
          <w:sz w:val="28"/>
          <w:szCs w:val="28"/>
        </w:rPr>
        <w:t>289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864CBD">
        <w:rPr>
          <w:rFonts w:eastAsia="Arial Unicode MS"/>
          <w:b/>
          <w:sz w:val="28"/>
          <w:szCs w:val="28"/>
          <w:lang w:val="uk-UA"/>
        </w:rPr>
        <w:t>23 грудня 2025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864CBD">
        <w:rPr>
          <w:lang w:val="uk-UA"/>
        </w:rPr>
        <w:t>2026 рік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 xml:space="preserve">1. Затвердити Програму «Поліцейський офіцер громади» на </w:t>
      </w:r>
      <w:r w:rsidR="00864CBD">
        <w:rPr>
          <w:b w:val="0"/>
          <w:lang w:val="uk-UA"/>
        </w:rPr>
        <w:t>2026</w:t>
      </w:r>
      <w:r w:rsidR="005F66C5" w:rsidRPr="002071D9">
        <w:rPr>
          <w:b w:val="0"/>
          <w:lang w:val="uk-UA"/>
        </w:rPr>
        <w:t xml:space="preserve"> </w:t>
      </w:r>
      <w:r w:rsidR="00864CBD">
        <w:rPr>
          <w:b w:val="0"/>
          <w:lang w:val="uk-UA"/>
        </w:rPr>
        <w:t>рік (Додаток 1).</w:t>
      </w:r>
    </w:p>
    <w:p w:rsidR="00864CBD" w:rsidRDefault="00864CBD" w:rsidP="00864CBD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uk-UA"/>
        </w:rPr>
      </w:pPr>
      <w:r w:rsidRPr="00864CBD">
        <w:rPr>
          <w:color w:val="000000"/>
          <w:sz w:val="28"/>
          <w:szCs w:val="28"/>
          <w:lang w:val="uk-UA" w:eastAsia="uk-UA"/>
        </w:rPr>
        <w:t>2. Затвердити перелік заходів, обсяги та джерела фінансування</w:t>
      </w:r>
      <w:r>
        <w:rPr>
          <w:color w:val="000000"/>
          <w:sz w:val="28"/>
          <w:szCs w:val="28"/>
          <w:lang w:val="uk-UA" w:eastAsia="uk-UA"/>
        </w:rPr>
        <w:t xml:space="preserve"> відповідно до</w:t>
      </w:r>
      <w:r w:rsidRPr="00864CB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Програми</w:t>
      </w:r>
      <w:r w:rsidRPr="00864CBD">
        <w:rPr>
          <w:color w:val="000000"/>
          <w:sz w:val="28"/>
          <w:szCs w:val="28"/>
          <w:lang w:val="uk-UA" w:eastAsia="uk-UA"/>
        </w:rPr>
        <w:t xml:space="preserve"> «Поліцейський офіцер</w:t>
      </w:r>
      <w:r>
        <w:rPr>
          <w:color w:val="000000"/>
          <w:sz w:val="28"/>
          <w:szCs w:val="28"/>
          <w:lang w:val="uk-UA" w:eastAsia="uk-UA"/>
        </w:rPr>
        <w:t xml:space="preserve"> громади» на 2026 рік             (Додаток 2</w:t>
      </w:r>
      <w:r w:rsidRPr="00864CBD">
        <w:rPr>
          <w:color w:val="000000"/>
          <w:sz w:val="28"/>
          <w:szCs w:val="28"/>
          <w:lang w:val="uk-UA" w:eastAsia="uk-UA"/>
        </w:rPr>
        <w:t>).</w:t>
      </w:r>
    </w:p>
    <w:p w:rsidR="00864CBD" w:rsidRPr="00864CBD" w:rsidRDefault="00864CBD" w:rsidP="00864CBD">
      <w:pPr>
        <w:widowControl/>
        <w:autoSpaceDE/>
        <w:autoSpaceDN/>
        <w:ind w:firstLine="851"/>
        <w:jc w:val="both"/>
        <w:rPr>
          <w:position w:val="-1"/>
          <w:sz w:val="28"/>
          <w:szCs w:val="28"/>
          <w:lang w:val="uk-UA" w:eastAsia="ru-RU"/>
        </w:rPr>
      </w:pPr>
      <w:r w:rsidRPr="00864CBD">
        <w:rPr>
          <w:position w:val="-1"/>
          <w:sz w:val="28"/>
          <w:szCs w:val="28"/>
          <w:lang w:val="uk-UA" w:eastAsia="ru-RU"/>
        </w:rPr>
        <w:t xml:space="preserve">3. Координацію роботи з виконання даного рішення покласти на заступника міського голови, відповідного напрямку. </w:t>
      </w: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ind w:firstLine="851"/>
        <w:jc w:val="both"/>
        <w:textDirection w:val="btLr"/>
        <w:textAlignment w:val="top"/>
        <w:outlineLvl w:val="0"/>
        <w:rPr>
          <w:position w:val="-1"/>
          <w:sz w:val="28"/>
          <w:szCs w:val="28"/>
          <w:lang w:val="uk-UA" w:eastAsia="ru-RU"/>
        </w:rPr>
      </w:pPr>
      <w:r w:rsidRPr="00864CBD">
        <w:rPr>
          <w:position w:val="-1"/>
          <w:sz w:val="28"/>
          <w:szCs w:val="28"/>
          <w:lang w:val="uk-UA" w:eastAsia="ru-RU"/>
        </w:rPr>
        <w:t>4.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864CBD" w:rsidRPr="00864CBD" w:rsidRDefault="00864CBD" w:rsidP="00864CBD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002E81" w:rsidRPr="00002E81" w:rsidRDefault="00002E81" w:rsidP="00002E81">
      <w:pPr>
        <w:widowControl/>
        <w:autoSpaceDE/>
        <w:autoSpaceDN/>
        <w:rPr>
          <w:b/>
          <w:sz w:val="28"/>
          <w:szCs w:val="28"/>
          <w:lang w:val="uk-UA" w:eastAsia="ru-RU"/>
        </w:rPr>
      </w:pPr>
      <w:r w:rsidRPr="00002E81">
        <w:rPr>
          <w:b/>
          <w:sz w:val="28"/>
          <w:szCs w:val="28"/>
          <w:lang w:val="uk-UA" w:eastAsia="ru-RU"/>
        </w:rPr>
        <w:t xml:space="preserve">Згідно з оригіналом: </w:t>
      </w:r>
    </w:p>
    <w:p w:rsidR="00002E81" w:rsidRPr="00002E81" w:rsidRDefault="00002E81" w:rsidP="00002E81">
      <w:pPr>
        <w:widowControl/>
        <w:autoSpaceDE/>
        <w:autoSpaceDN/>
        <w:rPr>
          <w:b/>
          <w:sz w:val="28"/>
          <w:szCs w:val="28"/>
          <w:lang w:val="uk-UA" w:eastAsia="ru-RU"/>
        </w:rPr>
      </w:pPr>
      <w:r w:rsidRPr="00002E81">
        <w:rPr>
          <w:b/>
          <w:sz w:val="28"/>
          <w:szCs w:val="28"/>
          <w:lang w:val="uk-UA" w:eastAsia="ru-RU"/>
        </w:rPr>
        <w:t xml:space="preserve">Секретар ради  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             </w:t>
      </w:r>
      <w:r w:rsidRPr="00002E81">
        <w:rPr>
          <w:b/>
          <w:sz w:val="28"/>
          <w:szCs w:val="28"/>
          <w:lang w:val="uk-UA" w:eastAsia="ru-RU"/>
        </w:rPr>
        <w:t>Олексій ПЕРФІЛОВ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864CBD" w:rsidRPr="00864CBD" w:rsidRDefault="00864CBD" w:rsidP="00FC6688">
      <w:pPr>
        <w:widowControl/>
        <w:autoSpaceDE/>
        <w:autoSpaceDN/>
        <w:ind w:left="3969"/>
        <w:rPr>
          <w:rFonts w:ascii="Calibri" w:hAnsi="Calibri"/>
          <w:b/>
          <w:sz w:val="8"/>
          <w:szCs w:val="8"/>
          <w:lang w:val="uk-UA" w:eastAsia="ru-RU"/>
        </w:rPr>
      </w:pPr>
      <w:r w:rsidRPr="00864CBD">
        <w:rPr>
          <w:b/>
          <w:sz w:val="28"/>
          <w:szCs w:val="28"/>
          <w:lang w:val="uk-UA" w:eastAsia="ru-RU"/>
        </w:rPr>
        <w:t>ЗАТВЕРДЖЕНО:                                                          Додаток</w:t>
      </w:r>
      <w:bookmarkStart w:id="0" w:name="_GoBack"/>
      <w:bookmarkEnd w:id="0"/>
      <w:r w:rsidRPr="00864CBD">
        <w:rPr>
          <w:b/>
          <w:sz w:val="28"/>
          <w:szCs w:val="28"/>
          <w:lang w:val="uk-UA" w:eastAsia="ru-RU"/>
        </w:rPr>
        <w:t xml:space="preserve"> 1 до рішення чергової 79 сесії                                                                         Боярської міської ради VI</w:t>
      </w:r>
      <w:r w:rsidRPr="00864CBD">
        <w:rPr>
          <w:b/>
          <w:sz w:val="28"/>
          <w:szCs w:val="28"/>
          <w:lang w:eastAsia="ru-RU"/>
        </w:rPr>
        <w:t>I</w:t>
      </w:r>
      <w:r w:rsidRPr="00864CBD">
        <w:rPr>
          <w:b/>
          <w:sz w:val="28"/>
          <w:szCs w:val="28"/>
          <w:lang w:val="uk-UA" w:eastAsia="ru-RU"/>
        </w:rPr>
        <w:t>I скликання                                                                      від 23 грудня 2025 року № 79/</w:t>
      </w:r>
      <w:r w:rsidR="00002E81">
        <w:rPr>
          <w:b/>
          <w:sz w:val="28"/>
          <w:szCs w:val="28"/>
          <w:lang w:val="uk-UA" w:eastAsia="ru-RU"/>
        </w:rPr>
        <w:t>4289</w:t>
      </w: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rPr>
          <w:b/>
          <w:color w:val="000000"/>
          <w:sz w:val="18"/>
          <w:szCs w:val="18"/>
          <w:lang w:val="uk-UA" w:eastAsia="uk-UA"/>
        </w:rPr>
      </w:pP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rPr>
          <w:color w:val="000000"/>
          <w:sz w:val="18"/>
          <w:szCs w:val="18"/>
          <w:lang w:val="uk-UA" w:eastAsia="uk-UA"/>
        </w:rPr>
      </w:pPr>
    </w:p>
    <w:p w:rsidR="00864CBD" w:rsidRPr="00864CBD" w:rsidRDefault="00864CBD" w:rsidP="00FC6688">
      <w:pPr>
        <w:widowControl/>
        <w:shd w:val="clear" w:color="auto" w:fill="FFFFFF"/>
        <w:autoSpaceDE/>
        <w:autoSpaceDN/>
        <w:ind w:left="3969"/>
        <w:jc w:val="center"/>
        <w:rPr>
          <w:color w:val="000000"/>
          <w:sz w:val="28"/>
          <w:szCs w:val="28"/>
          <w:lang w:val="uk-UA" w:eastAsia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 xml:space="preserve">на </w:t>
      </w:r>
      <w:r w:rsidR="00FC6688">
        <w:rPr>
          <w:sz w:val="40"/>
          <w:szCs w:val="40"/>
          <w:lang w:val="uk-UA"/>
        </w:rPr>
        <w:t>2026 рік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FC6688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- 2025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 xml:space="preserve">на </w:t>
      </w:r>
      <w:r w:rsidR="00FC6688">
        <w:rPr>
          <w:b/>
          <w:sz w:val="28"/>
          <w:lang w:val="uk-UA"/>
        </w:rPr>
        <w:t>2026 рік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002E81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FC6688" w:rsidP="00FC6688">
            <w:pPr>
              <w:pStyle w:val="TableParagraph"/>
              <w:ind w:left="122" w:right="12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Дата </w:t>
            </w:r>
            <w:r w:rsidR="00404273" w:rsidRPr="004D74E3">
              <w:rPr>
                <w:sz w:val="28"/>
                <w:lang w:val="uk-UA"/>
              </w:rPr>
              <w:t xml:space="preserve">розпорядчого документа </w:t>
            </w:r>
            <w:r>
              <w:rPr>
                <w:sz w:val="28"/>
                <w:lang w:val="uk-UA"/>
              </w:rPr>
              <w:t>про розроблення П</w:t>
            </w:r>
            <w:r w:rsidR="00404273" w:rsidRPr="004D74E3">
              <w:rPr>
                <w:sz w:val="28"/>
                <w:lang w:val="uk-UA"/>
              </w:rPr>
              <w:t>рограми</w:t>
            </w:r>
          </w:p>
        </w:tc>
        <w:tc>
          <w:tcPr>
            <w:tcW w:w="4841" w:type="dxa"/>
          </w:tcPr>
          <w:p w:rsidR="00404273" w:rsidRPr="003A1BCF" w:rsidRDefault="00FC6688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23 грудня 2025 рік</w:t>
            </w:r>
          </w:p>
        </w:tc>
      </w:tr>
      <w:tr w:rsidR="00404273" w:rsidRPr="00002E81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002E81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002E81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002E81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FC6688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 рік</w:t>
            </w:r>
          </w:p>
        </w:tc>
      </w:tr>
      <w:tr w:rsidR="00404273" w:rsidRPr="00002E81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FC6688">
              <w:rPr>
                <w:sz w:val="28"/>
                <w:lang w:val="uk-UA"/>
              </w:rPr>
              <w:t xml:space="preserve"> 2026</w:t>
            </w:r>
            <w:r w:rsidR="003F6A10">
              <w:rPr>
                <w:sz w:val="28"/>
                <w:lang w:val="uk-UA"/>
              </w:rPr>
              <w:t xml:space="preserve">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5C25B7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1 800,0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FC6688" w:rsidRDefault="00FC6688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5C25B7">
      <w:pPr>
        <w:tabs>
          <w:tab w:val="left" w:pos="-142"/>
        </w:tabs>
        <w:ind w:right="-41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5C25B7">
      <w:pPr>
        <w:pStyle w:val="a3"/>
        <w:ind w:right="29" w:firstLine="567"/>
        <w:jc w:val="center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 xml:space="preserve">на </w:t>
      </w:r>
      <w:r w:rsidR="00FC6688">
        <w:rPr>
          <w:lang w:val="uk-UA"/>
        </w:rPr>
        <w:t xml:space="preserve">2026 рік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FC6688" w:rsidRPr="00191D97" w:rsidRDefault="00FC6688" w:rsidP="00B35F6F">
      <w:pPr>
        <w:pStyle w:val="2"/>
        <w:ind w:left="0" w:right="347"/>
        <w:jc w:val="center"/>
        <w:rPr>
          <w:lang w:val="uk-UA"/>
        </w:rPr>
      </w:pP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lastRenderedPageBreak/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FC6688" w:rsidRPr="00191D97" w:rsidRDefault="00FC6688" w:rsidP="00B35F6F">
      <w:pPr>
        <w:pStyle w:val="2"/>
        <w:ind w:left="0" w:firstLine="567"/>
        <w:jc w:val="center"/>
        <w:rPr>
          <w:lang w:val="uk-UA"/>
        </w:rPr>
      </w:pP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Pr="00FC6688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 w:rsidRPr="00FC6688">
        <w:rPr>
          <w:lang w:val="uk-UA"/>
        </w:rPr>
        <w:t xml:space="preserve">4. </w:t>
      </w:r>
      <w:r w:rsidR="005215A2" w:rsidRPr="00FC6688">
        <w:rPr>
          <w:lang w:val="uk-UA"/>
        </w:rPr>
        <w:t>Фінансування</w:t>
      </w:r>
      <w:r w:rsidR="005215A2" w:rsidRPr="00FC6688">
        <w:rPr>
          <w:spacing w:val="-16"/>
          <w:lang w:val="uk-UA"/>
        </w:rPr>
        <w:t xml:space="preserve"> </w:t>
      </w:r>
      <w:r w:rsidR="005215A2" w:rsidRPr="00FC6688">
        <w:rPr>
          <w:lang w:val="uk-UA"/>
        </w:rPr>
        <w:t>Програми</w:t>
      </w:r>
    </w:p>
    <w:p w:rsidR="00C83D23" w:rsidRPr="00FC6688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Pr="00FC6688" w:rsidRDefault="005215A2" w:rsidP="0050406D">
      <w:pPr>
        <w:pStyle w:val="a3"/>
        <w:ind w:right="3" w:firstLine="567"/>
        <w:jc w:val="both"/>
        <w:rPr>
          <w:lang w:val="uk-UA"/>
        </w:rPr>
      </w:pPr>
      <w:r w:rsidRPr="00FC6688">
        <w:rPr>
          <w:lang w:val="uk-UA"/>
        </w:rPr>
        <w:t>Фінансування заходів Програми здійснюється за рахунок коштів бюджету</w:t>
      </w:r>
      <w:r w:rsidR="00173CB8" w:rsidRPr="00FC6688">
        <w:rPr>
          <w:lang w:val="uk-UA"/>
        </w:rPr>
        <w:t xml:space="preserve"> Боярської міської  територіальної громади</w:t>
      </w:r>
      <w:r w:rsidRPr="00FC6688">
        <w:rPr>
          <w:lang w:val="uk-UA"/>
        </w:rPr>
        <w:t>, а також інших джерел, не заборонених чинним законодавством України.</w:t>
      </w:r>
    </w:p>
    <w:p w:rsidR="00331315" w:rsidRPr="00FC6688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A6781E" w:rsidRPr="00FC6688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FC6688">
        <w:rPr>
          <w:b/>
          <w:bCs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FC6688" w:rsidRDefault="00C47AD2" w:rsidP="00A6781E">
      <w:pPr>
        <w:shd w:val="clear" w:color="auto" w:fill="FFFFFF"/>
        <w:ind w:right="3" w:firstLine="567"/>
        <w:jc w:val="both"/>
        <w:rPr>
          <w:sz w:val="28"/>
          <w:szCs w:val="28"/>
          <w:lang w:val="uk-UA" w:eastAsia="ru-RU"/>
        </w:rPr>
      </w:pPr>
    </w:p>
    <w:p w:rsidR="00A6781E" w:rsidRPr="00FC6688" w:rsidRDefault="00A6781E" w:rsidP="00A6781E">
      <w:pPr>
        <w:shd w:val="clear" w:color="auto" w:fill="FFFFFF"/>
        <w:ind w:right="3" w:firstLine="567"/>
        <w:jc w:val="both"/>
        <w:rPr>
          <w:sz w:val="28"/>
          <w:szCs w:val="28"/>
          <w:lang w:val="uk-UA" w:eastAsia="ru-RU"/>
        </w:rPr>
      </w:pPr>
      <w:r w:rsidRPr="00FC6688">
        <w:rPr>
          <w:sz w:val="28"/>
          <w:szCs w:val="28"/>
          <w:lang w:val="uk-UA" w:eastAsia="ru-RU"/>
        </w:rPr>
        <w:t>Органом управління Програмою є ви</w:t>
      </w:r>
      <w:r w:rsidR="00404273" w:rsidRPr="00FC6688">
        <w:rPr>
          <w:sz w:val="28"/>
          <w:szCs w:val="28"/>
          <w:lang w:val="uk-UA" w:eastAsia="ru-RU"/>
        </w:rPr>
        <w:t>конавчий комітет Боярської місь</w:t>
      </w:r>
      <w:r w:rsidRPr="00FC6688">
        <w:rPr>
          <w:sz w:val="28"/>
          <w:szCs w:val="28"/>
          <w:lang w:val="uk-UA" w:eastAsia="ru-RU"/>
        </w:rPr>
        <w:t>кої ради,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FC6688">
        <w:rPr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FC6688" w:rsidRPr="00191D97" w:rsidRDefault="00FC6688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5C25B7" w:rsidRDefault="00F70F50" w:rsidP="005C25B7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B8627D" w:rsidRPr="005C25B7" w:rsidRDefault="00B8627D" w:rsidP="005C25B7">
      <w:pPr>
        <w:shd w:val="clear" w:color="auto" w:fill="FFFFFF"/>
        <w:ind w:right="3"/>
        <w:jc w:val="both"/>
        <w:rPr>
          <w:color w:val="000000"/>
          <w:sz w:val="18"/>
          <w:szCs w:val="18"/>
          <w:lang w:val="uk-UA" w:eastAsia="ru-RU"/>
        </w:rPr>
      </w:pPr>
      <w:r w:rsidRPr="00B8627D">
        <w:rPr>
          <w:rFonts w:eastAsia="Calibri"/>
          <w:b/>
          <w:sz w:val="28"/>
          <w:szCs w:val="28"/>
          <w:lang w:val="uk-UA"/>
        </w:rPr>
        <w:t xml:space="preserve">Начальник </w:t>
      </w:r>
      <w:r w:rsidR="005C25B7">
        <w:rPr>
          <w:rFonts w:eastAsia="Calibri"/>
          <w:b/>
          <w:sz w:val="28"/>
          <w:szCs w:val="28"/>
          <w:lang w:val="uk-UA"/>
        </w:rPr>
        <w:t>У</w:t>
      </w:r>
      <w:r w:rsidRPr="00B8627D">
        <w:rPr>
          <w:rFonts w:eastAsia="Calibri"/>
          <w:b/>
          <w:sz w:val="28"/>
          <w:szCs w:val="28"/>
          <w:lang w:val="uk-UA"/>
        </w:rPr>
        <w:t xml:space="preserve">правління РІ та ЖКГ         </w:t>
      </w:r>
      <w:r w:rsidR="005C25B7">
        <w:rPr>
          <w:rFonts w:eastAsia="Calibri"/>
          <w:b/>
          <w:sz w:val="28"/>
          <w:szCs w:val="28"/>
          <w:lang w:val="uk-UA"/>
        </w:rPr>
        <w:t xml:space="preserve">                               </w:t>
      </w:r>
      <w:r w:rsidRPr="00B8627D">
        <w:rPr>
          <w:rFonts w:eastAsia="Calibri"/>
          <w:b/>
          <w:sz w:val="28"/>
          <w:szCs w:val="28"/>
          <w:lang w:val="uk-UA"/>
        </w:rPr>
        <w:t>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FC6688" w:rsidRPr="00864CBD" w:rsidRDefault="00FC6688" w:rsidP="00FC6688">
      <w:pPr>
        <w:widowControl/>
        <w:autoSpaceDE/>
        <w:autoSpaceDN/>
        <w:ind w:left="3969"/>
        <w:rPr>
          <w:rFonts w:ascii="Calibri" w:hAnsi="Calibri"/>
          <w:b/>
          <w:sz w:val="8"/>
          <w:szCs w:val="8"/>
          <w:lang w:val="uk-UA" w:eastAsia="ru-RU"/>
        </w:rPr>
      </w:pPr>
      <w:r w:rsidRPr="00864CBD">
        <w:rPr>
          <w:b/>
          <w:sz w:val="28"/>
          <w:szCs w:val="28"/>
          <w:lang w:val="uk-UA" w:eastAsia="ru-RU"/>
        </w:rPr>
        <w:lastRenderedPageBreak/>
        <w:t xml:space="preserve">ЗАТВЕРДЖЕНО: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     Додаток 2</w:t>
      </w:r>
      <w:r w:rsidRPr="00864CBD">
        <w:rPr>
          <w:b/>
          <w:sz w:val="28"/>
          <w:szCs w:val="28"/>
          <w:lang w:val="uk-UA" w:eastAsia="ru-RU"/>
        </w:rPr>
        <w:t xml:space="preserve"> до рішення чергової 79 сесії                                                                         Боярської міської ради VI</w:t>
      </w:r>
      <w:r w:rsidRPr="00864CBD">
        <w:rPr>
          <w:b/>
          <w:sz w:val="28"/>
          <w:szCs w:val="28"/>
          <w:lang w:eastAsia="ru-RU"/>
        </w:rPr>
        <w:t>I</w:t>
      </w:r>
      <w:r w:rsidRPr="00864CBD">
        <w:rPr>
          <w:b/>
          <w:sz w:val="28"/>
          <w:szCs w:val="28"/>
          <w:lang w:val="uk-UA" w:eastAsia="ru-RU"/>
        </w:rPr>
        <w:t>I скликання                                                                      від 23 грудня 2025 року № 79/</w:t>
      </w:r>
      <w:r w:rsidR="00002E81">
        <w:rPr>
          <w:b/>
          <w:sz w:val="28"/>
          <w:szCs w:val="28"/>
          <w:lang w:val="uk-UA" w:eastAsia="ru-RU"/>
        </w:rPr>
        <w:t>4289</w:t>
      </w:r>
    </w:p>
    <w:p w:rsidR="00FC6688" w:rsidRPr="00864CBD" w:rsidRDefault="00FC6688" w:rsidP="00FC6688">
      <w:pPr>
        <w:widowControl/>
        <w:shd w:val="clear" w:color="auto" w:fill="FFFFFF"/>
        <w:autoSpaceDE/>
        <w:autoSpaceDN/>
        <w:ind w:left="3969"/>
        <w:rPr>
          <w:b/>
          <w:color w:val="000000"/>
          <w:sz w:val="18"/>
          <w:szCs w:val="18"/>
          <w:lang w:val="uk-UA" w:eastAsia="uk-UA"/>
        </w:rPr>
      </w:pPr>
    </w:p>
    <w:p w:rsidR="00FC6688" w:rsidRPr="00864CBD" w:rsidRDefault="00FC6688" w:rsidP="00FC6688">
      <w:pPr>
        <w:widowControl/>
        <w:shd w:val="clear" w:color="auto" w:fill="FFFFFF"/>
        <w:autoSpaceDE/>
        <w:autoSpaceDN/>
        <w:ind w:left="3969"/>
        <w:rPr>
          <w:color w:val="000000"/>
          <w:sz w:val="18"/>
          <w:szCs w:val="18"/>
          <w:lang w:val="uk-UA" w:eastAsia="uk-UA"/>
        </w:rPr>
      </w:pPr>
    </w:p>
    <w:p w:rsidR="00F62D26" w:rsidRPr="00FC6688" w:rsidRDefault="00F62D26" w:rsidP="00F62D26">
      <w:pPr>
        <w:pStyle w:val="a3"/>
        <w:jc w:val="right"/>
        <w:rPr>
          <w:i/>
          <w:lang w:val="uk-UA"/>
        </w:rPr>
      </w:pPr>
    </w:p>
    <w:p w:rsid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</w:t>
      </w:r>
      <w:r w:rsidRPr="00864CBD">
        <w:rPr>
          <w:b/>
          <w:color w:val="000000"/>
          <w:sz w:val="28"/>
          <w:szCs w:val="28"/>
          <w:lang w:val="uk-UA" w:eastAsia="uk-UA"/>
        </w:rPr>
        <w:t xml:space="preserve">ерелік заходів, </w:t>
      </w:r>
    </w:p>
    <w:p w:rsid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 w:rsidRPr="00864CBD">
        <w:rPr>
          <w:b/>
          <w:color w:val="000000"/>
          <w:sz w:val="28"/>
          <w:szCs w:val="28"/>
          <w:lang w:val="uk-UA" w:eastAsia="uk-UA"/>
        </w:rPr>
        <w:t>обсяги та джерела фінансування</w:t>
      </w:r>
      <w:r w:rsidRPr="00FC6688">
        <w:rPr>
          <w:b/>
          <w:color w:val="000000"/>
          <w:sz w:val="28"/>
          <w:szCs w:val="28"/>
          <w:lang w:val="uk-UA" w:eastAsia="uk-UA"/>
        </w:rPr>
        <w:t xml:space="preserve"> відповідно до</w:t>
      </w:r>
      <w:r w:rsidRPr="00864CBD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FC6688" w:rsidRPr="00FC6688" w:rsidRDefault="00FC6688" w:rsidP="00FC6688">
      <w:pPr>
        <w:widowControl/>
        <w:autoSpaceDE/>
        <w:autoSpaceDN/>
        <w:ind w:firstLine="851"/>
        <w:jc w:val="center"/>
        <w:rPr>
          <w:b/>
          <w:color w:val="000000"/>
          <w:sz w:val="28"/>
          <w:szCs w:val="28"/>
          <w:lang w:val="uk-UA" w:eastAsia="uk-UA"/>
        </w:rPr>
      </w:pPr>
      <w:r w:rsidRPr="00FC6688">
        <w:rPr>
          <w:b/>
          <w:color w:val="000000"/>
          <w:sz w:val="28"/>
          <w:szCs w:val="28"/>
          <w:lang w:val="uk-UA" w:eastAsia="uk-UA"/>
        </w:rPr>
        <w:t>Програми «Поліцейський офіцер громади» на 2026 рік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FC6688" w:rsidRDefault="00FC6688" w:rsidP="00FC6688">
            <w:pPr>
              <w:pStyle w:val="TableParagraph"/>
              <w:spacing w:line="315" w:lineRule="exact"/>
              <w:ind w:left="477"/>
              <w:jc w:val="center"/>
              <w:rPr>
                <w:b/>
                <w:sz w:val="28"/>
                <w:lang w:val="uk-UA"/>
              </w:rPr>
            </w:pPr>
            <w:r w:rsidRPr="00FC6688">
              <w:rPr>
                <w:b/>
                <w:sz w:val="28"/>
                <w:lang w:val="uk-UA"/>
              </w:rPr>
              <w:t>Перелік заходів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5C25B7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</w:t>
            </w:r>
            <w:r w:rsidR="000755BA" w:rsidRPr="000755B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 w:rsidP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</w:t>
            </w:r>
            <w:r w:rsidR="005C25B7">
              <w:rPr>
                <w:sz w:val="28"/>
                <w:lang w:val="uk-UA"/>
              </w:rPr>
              <w:t>250</w:t>
            </w:r>
            <w:r>
              <w:rPr>
                <w:sz w:val="28"/>
                <w:lang w:val="uk-UA"/>
              </w:rPr>
              <w:t>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F62D26">
              <w:rPr>
                <w:sz w:val="28"/>
                <w:lang w:val="uk-UA"/>
              </w:rPr>
              <w:t>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5C25B7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1 800,0</w:t>
            </w:r>
          </w:p>
        </w:tc>
      </w:tr>
    </w:tbl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5C25B7" w:rsidRDefault="005C25B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FC6688" w:rsidRDefault="00FC6688" w:rsidP="00AC1882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lastRenderedPageBreak/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офіцер громади» </w:t>
      </w:r>
      <w:r w:rsidR="005C25B7">
        <w:rPr>
          <w:b/>
          <w:sz w:val="28"/>
          <w:szCs w:val="28"/>
          <w:lang w:val="uk-UA" w:eastAsia="ar-SA"/>
        </w:rPr>
        <w:t>на 2026 рік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 xml:space="preserve">офіцер громади» на </w:t>
      </w:r>
      <w:r w:rsidR="005C25B7">
        <w:rPr>
          <w:sz w:val="28"/>
          <w:szCs w:val="28"/>
          <w:lang w:val="uk-UA" w:eastAsia="ar-SA"/>
        </w:rPr>
        <w:t>2026 рік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5C25B7">
        <w:rPr>
          <w:rFonts w:eastAsia="Calibri"/>
          <w:sz w:val="28"/>
          <w:szCs w:val="28"/>
          <w:lang w:val="uk-UA" w:eastAsia="uk-UA"/>
        </w:rPr>
        <w:t>11.12.2025</w:t>
      </w:r>
      <w:r w:rsidR="00AF1377">
        <w:rPr>
          <w:rFonts w:eastAsia="Calibri"/>
          <w:sz w:val="28"/>
          <w:szCs w:val="28"/>
          <w:lang w:val="uk-UA" w:eastAsia="uk-UA"/>
        </w:rPr>
        <w:t xml:space="preserve">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 xml:space="preserve">№ </w:t>
      </w:r>
      <w:r w:rsidR="005C25B7">
        <w:rPr>
          <w:rFonts w:eastAsia="Calibri"/>
          <w:sz w:val="28"/>
          <w:szCs w:val="28"/>
          <w:lang w:val="uk-UA" w:eastAsia="uk-UA"/>
        </w:rPr>
        <w:t>5566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5C25B7">
        <w:rPr>
          <w:rFonts w:eastAsia="Calibri"/>
          <w:sz w:val="28"/>
          <w:szCs w:val="28"/>
          <w:lang w:val="uk-UA" w:eastAsia="uk-UA"/>
        </w:rPr>
        <w:t>2026</w:t>
      </w:r>
      <w:r w:rsidR="003104E0">
        <w:rPr>
          <w:rFonts w:eastAsia="Calibri"/>
          <w:sz w:val="28"/>
          <w:szCs w:val="28"/>
          <w:lang w:val="uk-UA" w:eastAsia="uk-UA"/>
        </w:rPr>
        <w:t xml:space="preserve">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C47AD2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оплата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комунальних послуг поліцейських станцій, що розташовані, за адресами: вул. </w:t>
      </w:r>
      <w:proofErr w:type="spellStart"/>
      <w:r w:rsidR="00C47AD2" w:rsidRPr="00C47AD2">
        <w:rPr>
          <w:rFonts w:eastAsia="Calibri"/>
          <w:sz w:val="28"/>
          <w:szCs w:val="28"/>
          <w:lang w:val="uk-UA" w:eastAsia="uk-UA"/>
        </w:rPr>
        <w:t>Б.Хме</w:t>
      </w:r>
      <w:r w:rsidR="00C47AD2">
        <w:rPr>
          <w:rFonts w:eastAsia="Calibri"/>
          <w:sz w:val="28"/>
          <w:szCs w:val="28"/>
          <w:lang w:val="uk-UA" w:eastAsia="uk-UA"/>
        </w:rPr>
        <w:t>льницького</w:t>
      </w:r>
      <w:proofErr w:type="spellEnd"/>
      <w:r w:rsidR="00C47AD2">
        <w:rPr>
          <w:rFonts w:eastAsia="Calibri"/>
          <w:sz w:val="28"/>
          <w:szCs w:val="28"/>
          <w:lang w:val="uk-UA" w:eastAsia="uk-UA"/>
        </w:rPr>
        <w:t xml:space="preserve">, 73/2; </w:t>
      </w:r>
      <w:r w:rsidR="00C47AD2" w:rsidRPr="00C47AD2">
        <w:rPr>
          <w:rFonts w:eastAsia="Calibri"/>
          <w:sz w:val="28"/>
          <w:szCs w:val="28"/>
          <w:lang w:val="uk-UA" w:eastAsia="uk-UA"/>
        </w:rPr>
        <w:t>вул. Котляревського, 11 у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C47AD2" w:rsidRPr="00C47AD2">
        <w:rPr>
          <w:rFonts w:eastAsia="Calibri"/>
          <w:sz w:val="28"/>
          <w:szCs w:val="28"/>
          <w:lang w:val="uk-UA" w:eastAsia="uk-UA"/>
        </w:rPr>
        <w:t>м. Боярка</w:t>
      </w:r>
      <w:r>
        <w:rPr>
          <w:rFonts w:eastAsia="Calibri"/>
          <w:sz w:val="28"/>
          <w:szCs w:val="28"/>
          <w:lang w:val="uk-UA" w:eastAsia="uk-UA"/>
        </w:rPr>
        <w:t xml:space="preserve"> Фастівського району Київської області, у розмірі 50,0 тис. грн.;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службового автомобіля  для поліцейського офіцера громади 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125</w:t>
      </w:r>
      <w:r>
        <w:rPr>
          <w:rFonts w:eastAsia="Calibri"/>
          <w:sz w:val="28"/>
          <w:szCs w:val="28"/>
          <w:lang w:val="uk-UA" w:eastAsia="uk-UA"/>
        </w:rPr>
        <w:t>0,0 тис. грн.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роведення технічних обслуговувань транспортних засобів поліцейських офіцерів громади 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2</w:t>
      </w:r>
      <w:r>
        <w:rPr>
          <w:rFonts w:eastAsia="Calibri"/>
          <w:sz w:val="28"/>
          <w:szCs w:val="28"/>
          <w:lang w:val="uk-UA" w:eastAsia="uk-UA"/>
        </w:rPr>
        <w:t>00,0 тис. грн.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5C25B7">
        <w:rPr>
          <w:rFonts w:eastAsia="Calibri"/>
          <w:sz w:val="28"/>
          <w:szCs w:val="28"/>
          <w:lang w:val="uk-UA" w:eastAsia="uk-UA"/>
        </w:rPr>
        <w:t>, у розмірі 300</w:t>
      </w:r>
      <w:r w:rsidR="003104E0">
        <w:rPr>
          <w:rFonts w:eastAsia="Calibri"/>
          <w:sz w:val="28"/>
          <w:szCs w:val="28"/>
          <w:lang w:val="uk-UA" w:eastAsia="uk-UA"/>
        </w:rPr>
        <w:t>,0</w:t>
      </w:r>
      <w:r w:rsidR="005C25B7">
        <w:rPr>
          <w:rFonts w:eastAsia="Calibri"/>
          <w:sz w:val="28"/>
          <w:szCs w:val="28"/>
          <w:lang w:val="uk-UA" w:eastAsia="uk-UA"/>
        </w:rPr>
        <w:t xml:space="preserve"> тис. грн.</w:t>
      </w: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02E81"/>
    <w:rsid w:val="00030F29"/>
    <w:rsid w:val="00046164"/>
    <w:rsid w:val="00047E4C"/>
    <w:rsid w:val="00061524"/>
    <w:rsid w:val="000755BA"/>
    <w:rsid w:val="000C4589"/>
    <w:rsid w:val="000E3C5A"/>
    <w:rsid w:val="001241AD"/>
    <w:rsid w:val="00154208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104E0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C25B7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64CBD"/>
    <w:rsid w:val="00884407"/>
    <w:rsid w:val="00906A0B"/>
    <w:rsid w:val="0093232F"/>
    <w:rsid w:val="00981FAC"/>
    <w:rsid w:val="009A2B97"/>
    <w:rsid w:val="009D74E7"/>
    <w:rsid w:val="00A6781E"/>
    <w:rsid w:val="00AC1882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7C89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871D-B815-4DF3-8A17-B48D070F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9921</Words>
  <Characters>5655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Савчук</cp:lastModifiedBy>
  <cp:revision>7</cp:revision>
  <cp:lastPrinted>2025-12-29T12:46:00Z</cp:lastPrinted>
  <dcterms:created xsi:type="dcterms:W3CDTF">2025-12-11T12:13:00Z</dcterms:created>
  <dcterms:modified xsi:type="dcterms:W3CDTF">2025-12-29T12:46:00Z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