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8"/>
        <w:tblW w:w="4710" w:type="dxa"/>
        <w:tblInd w:w="5037" w:type="dxa"/>
        <w:tblLayout w:type="fixed"/>
        <w:tblLook w:val="0000" w:firstRow="0" w:lastRow="0" w:firstColumn="0" w:lastColumn="0" w:noHBand="0" w:noVBand="0"/>
      </w:tblPr>
      <w:tblGrid>
        <w:gridCol w:w="255"/>
        <w:gridCol w:w="4455"/>
      </w:tblGrid>
      <w:tr w:rsidR="00216A2C">
        <w:tc>
          <w:tcPr>
            <w:tcW w:w="255" w:type="dxa"/>
          </w:tcPr>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tc>
        <w:tc>
          <w:tcPr>
            <w:tcW w:w="4455" w:type="dxa"/>
          </w:tcPr>
          <w:p w:rsidR="00216A2C" w:rsidRDefault="002B0A6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 xml:space="preserve"> «ЗАТВЕРДЖЕНО»</w:t>
            </w:r>
            <w:r>
              <w:rPr>
                <w:rFonts w:ascii="Times New Roman" w:eastAsia="Times New Roman" w:hAnsi="Times New Roman" w:cs="Times New Roman"/>
                <w:color w:val="000000"/>
                <w:sz w:val="24"/>
                <w:szCs w:val="24"/>
              </w:rPr>
              <w:t xml:space="preserve"> </w:t>
            </w:r>
          </w:p>
          <w:p w:rsidR="00216A2C" w:rsidRDefault="002B0A6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Рішенням Боярської міської ради</w:t>
            </w:r>
          </w:p>
          <w:p w:rsidR="00216A2C" w:rsidRDefault="002B0A6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8"/>
                <w:szCs w:val="28"/>
              </w:rPr>
              <w:t>від</w:t>
            </w:r>
            <w:r w:rsidR="0047269F">
              <w:rPr>
                <w:rFonts w:ascii="Times New Roman" w:eastAsia="Times New Roman" w:hAnsi="Times New Roman" w:cs="Times New Roman"/>
                <w:i/>
                <w:iCs/>
                <w:sz w:val="28"/>
                <w:szCs w:val="28"/>
              </w:rPr>
              <w:t xml:space="preserve"> 23 </w:t>
            </w:r>
            <w:r w:rsidR="0047269F">
              <w:rPr>
                <w:rFonts w:ascii="Times New Roman" w:eastAsia="Times New Roman" w:hAnsi="Times New Roman" w:cs="Times New Roman"/>
                <w:i/>
                <w:iCs/>
                <w:color w:val="000000"/>
                <w:sz w:val="28"/>
                <w:szCs w:val="28"/>
              </w:rPr>
              <w:t>грудня 2025 року  № 79/4317</w:t>
            </w:r>
            <w:r>
              <w:rPr>
                <w:rFonts w:ascii="Times New Roman" w:eastAsia="Times New Roman" w:hAnsi="Times New Roman" w:cs="Times New Roman"/>
                <w:i/>
                <w:iCs/>
                <w:color w:val="000000"/>
                <w:sz w:val="28"/>
                <w:szCs w:val="28"/>
              </w:rPr>
              <w:t xml:space="preserve">                      </w:t>
            </w:r>
          </w:p>
          <w:p w:rsidR="00216A2C" w:rsidRDefault="00216A2C">
            <w:pPr>
              <w:pBdr>
                <w:top w:val="nil"/>
                <w:left w:val="nil"/>
                <w:bottom w:val="nil"/>
                <w:right w:val="nil"/>
                <w:between w:val="nil"/>
              </w:pBdr>
              <w:ind w:left="-1525"/>
              <w:rPr>
                <w:rFonts w:ascii="Times New Roman" w:eastAsia="Times New Roman" w:hAnsi="Times New Roman" w:cs="Times New Roman"/>
                <w:color w:val="000000"/>
                <w:sz w:val="28"/>
                <w:szCs w:val="28"/>
              </w:rPr>
            </w:pPr>
          </w:p>
        </w:tc>
      </w:tr>
    </w:tbl>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387"/>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ПРОГРАМА</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ФІНАНСОВОЇ ПІДТРИМКИ</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КОМУНАЛЬНОГО  НЕКОМЕРЦІЙНОГО ПІДПРИЄМСТВА</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«ЦЕНТР СОЦІАЛЬНИХ СЛУЖБ»</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БОЯРСЬКОЇ МІСЬКОЇ РАДИ</w:t>
      </w:r>
      <w:r>
        <w:rPr>
          <w:rFonts w:ascii="Times New Roman" w:eastAsia="Times New Roman" w:hAnsi="Times New Roman" w:cs="Times New Roman"/>
          <w:b/>
          <w:bCs/>
          <w:color w:val="000000"/>
          <w:sz w:val="28"/>
          <w:szCs w:val="28"/>
        </w:rPr>
        <w:br/>
        <w:t>НА 2026 РІК</w:t>
      </w:r>
    </w:p>
    <w:p w:rsidR="00216A2C" w:rsidRDefault="00216A2C">
      <w:pPr>
        <w:pBdr>
          <w:top w:val="nil"/>
          <w:left w:val="nil"/>
          <w:bottom w:val="nil"/>
          <w:right w:val="nil"/>
          <w:between w:val="nil"/>
        </w:pBdr>
        <w:ind w:firstLine="5670"/>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ind w:firstLine="5670"/>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b/>
          <w:bCs/>
          <w:color w:val="000000"/>
          <w:sz w:val="28"/>
          <w:szCs w:val="28"/>
        </w:rPr>
      </w:pPr>
    </w:p>
    <w:p w:rsidR="00216A2C" w:rsidRDefault="00216A2C">
      <w:pPr>
        <w:pBdr>
          <w:top w:val="nil"/>
          <w:left w:val="nil"/>
          <w:bottom w:val="nil"/>
          <w:right w:val="nil"/>
          <w:between w:val="nil"/>
        </w:pBdr>
        <w:ind w:left="3545" w:firstLine="708"/>
        <w:rPr>
          <w:rFonts w:ascii="Times New Roman" w:eastAsia="Times New Roman" w:hAnsi="Times New Roman" w:cs="Times New Roman"/>
          <w:b/>
          <w:bCs/>
          <w:color w:val="000000"/>
          <w:sz w:val="28"/>
          <w:szCs w:val="28"/>
        </w:rPr>
      </w:pPr>
    </w:p>
    <w:p w:rsidR="002366B5" w:rsidRDefault="002366B5">
      <w:pPr>
        <w:pBdr>
          <w:top w:val="nil"/>
          <w:left w:val="nil"/>
          <w:bottom w:val="nil"/>
          <w:right w:val="nil"/>
          <w:between w:val="nil"/>
        </w:pBdr>
        <w:ind w:left="3545" w:firstLine="708"/>
        <w:rPr>
          <w:rFonts w:ascii="Times New Roman" w:eastAsia="Times New Roman" w:hAnsi="Times New Roman" w:cs="Times New Roman"/>
          <w:b/>
          <w:bCs/>
          <w:color w:val="000000"/>
          <w:sz w:val="28"/>
          <w:szCs w:val="28"/>
        </w:rPr>
      </w:pPr>
    </w:p>
    <w:p w:rsidR="002366B5" w:rsidRDefault="002366B5">
      <w:pPr>
        <w:pBdr>
          <w:top w:val="nil"/>
          <w:left w:val="nil"/>
          <w:bottom w:val="nil"/>
          <w:right w:val="nil"/>
          <w:between w:val="nil"/>
        </w:pBdr>
        <w:ind w:left="3545" w:firstLine="708"/>
        <w:rPr>
          <w:rFonts w:ascii="Times New Roman" w:eastAsia="Times New Roman" w:hAnsi="Times New Roman" w:cs="Times New Roman"/>
          <w:b/>
          <w:bCs/>
          <w:color w:val="000000"/>
          <w:sz w:val="28"/>
          <w:szCs w:val="28"/>
        </w:rPr>
      </w:pPr>
    </w:p>
    <w:p w:rsidR="002366B5" w:rsidRDefault="002366B5">
      <w:pPr>
        <w:pBdr>
          <w:top w:val="nil"/>
          <w:left w:val="nil"/>
          <w:bottom w:val="nil"/>
          <w:right w:val="nil"/>
          <w:between w:val="nil"/>
        </w:pBdr>
        <w:ind w:left="3545" w:firstLine="708"/>
        <w:rPr>
          <w:rFonts w:ascii="Times New Roman" w:eastAsia="Times New Roman" w:hAnsi="Times New Roman" w:cs="Times New Roman"/>
          <w:b/>
          <w:bCs/>
          <w:color w:val="000000"/>
          <w:sz w:val="28"/>
          <w:szCs w:val="28"/>
        </w:rPr>
      </w:pPr>
    </w:p>
    <w:p w:rsidR="002366B5" w:rsidRDefault="002366B5">
      <w:pPr>
        <w:pBdr>
          <w:top w:val="nil"/>
          <w:left w:val="nil"/>
          <w:bottom w:val="nil"/>
          <w:right w:val="nil"/>
          <w:between w:val="nil"/>
        </w:pBdr>
        <w:ind w:left="3545" w:firstLine="708"/>
        <w:rPr>
          <w:rFonts w:ascii="Times New Roman" w:eastAsia="Times New Roman" w:hAnsi="Times New Roman" w:cs="Times New Roman"/>
          <w:b/>
          <w:bCs/>
          <w:color w:val="000000"/>
          <w:sz w:val="28"/>
          <w:szCs w:val="28"/>
        </w:rPr>
      </w:pPr>
    </w:p>
    <w:p w:rsidR="002366B5" w:rsidRDefault="002366B5">
      <w:pPr>
        <w:pBdr>
          <w:top w:val="nil"/>
          <w:left w:val="nil"/>
          <w:bottom w:val="nil"/>
          <w:right w:val="nil"/>
          <w:between w:val="nil"/>
        </w:pBdr>
        <w:ind w:left="3545" w:firstLine="708"/>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ind w:left="3545" w:firstLine="70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 Боярка</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2025</w:t>
      </w: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З М І С Т</w:t>
      </w:r>
    </w:p>
    <w:p w:rsidR="00216A2C" w:rsidRDefault="002B0A61">
      <w:pPr>
        <w:pBdr>
          <w:top w:val="nil"/>
          <w:left w:val="nil"/>
          <w:bottom w:val="nil"/>
          <w:right w:val="nil"/>
          <w:between w:val="nil"/>
        </w:pBdr>
        <w:spacing w:line="288" w:lineRule="auto"/>
        <w:ind w:left="86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Стор.</w:t>
      </w:r>
    </w:p>
    <w:tbl>
      <w:tblPr>
        <w:tblStyle w:val="af9"/>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
        <w:gridCol w:w="7405"/>
        <w:gridCol w:w="1427"/>
      </w:tblGrid>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w:t>
            </w:r>
          </w:p>
        </w:tc>
        <w:tc>
          <w:tcPr>
            <w:tcW w:w="7405" w:type="dxa"/>
          </w:tcPr>
          <w:p w:rsidR="00216A2C" w:rsidRDefault="002B0A61" w:rsidP="00ED1148">
            <w:pPr>
              <w:pBdr>
                <w:top w:val="nil"/>
                <w:left w:val="nil"/>
                <w:bottom w:val="nil"/>
                <w:right w:val="nil"/>
                <w:between w:val="nil"/>
              </w:pBdr>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Паспорт Програми фінансової підтримки Комунального некомерційного підприємства «Центр соціальних служб» Боярської міської ради на 202</w:t>
            </w:r>
            <w:r w:rsidR="00ED1148">
              <w:rPr>
                <w:rFonts w:ascii="Times New Roman" w:eastAsia="Times New Roman" w:hAnsi="Times New Roman" w:cs="Times New Roman"/>
                <w:color w:val="000000"/>
                <w:sz w:val="28"/>
                <w:szCs w:val="28"/>
                <w:lang w:val="uk-UA"/>
              </w:rPr>
              <w:t>6</w:t>
            </w:r>
            <w:r>
              <w:rPr>
                <w:rFonts w:ascii="Times New Roman" w:eastAsia="Times New Roman" w:hAnsi="Times New Roman" w:cs="Times New Roman"/>
                <w:color w:val="000000"/>
                <w:sz w:val="28"/>
                <w:szCs w:val="28"/>
              </w:rPr>
              <w:t xml:space="preserve"> рік</w:t>
            </w: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w:t>
            </w:r>
          </w:p>
        </w:tc>
        <w:tc>
          <w:tcPr>
            <w:tcW w:w="7405" w:type="dxa"/>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Обґрунтування необхідності прийняття Програми </w:t>
            </w: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ІІІ.</w:t>
            </w:r>
          </w:p>
        </w:tc>
        <w:tc>
          <w:tcPr>
            <w:tcW w:w="7405" w:type="dxa"/>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Мета і завдання Програми </w:t>
            </w: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ІV.</w:t>
            </w:r>
          </w:p>
        </w:tc>
        <w:tc>
          <w:tcPr>
            <w:tcW w:w="7405" w:type="dxa"/>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Фінансування Програми </w:t>
            </w: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w:t>
            </w:r>
          </w:p>
        </w:tc>
        <w:tc>
          <w:tcPr>
            <w:tcW w:w="7405" w:type="dxa"/>
          </w:tcPr>
          <w:p w:rsidR="00216A2C" w:rsidRDefault="002B0A61">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Заходи щодо реалізації Програми </w:t>
            </w:r>
          </w:p>
          <w:p w:rsidR="00216A2C" w:rsidRDefault="00216A2C">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216A2C">
        <w:tc>
          <w:tcPr>
            <w:tcW w:w="816" w:type="dxa"/>
            <w:vAlign w:val="center"/>
          </w:tcPr>
          <w:p w:rsidR="00216A2C" w:rsidRDefault="002B0A61">
            <w:pPr>
              <w:pBdr>
                <w:top w:val="nil"/>
                <w:left w:val="nil"/>
                <w:bottom w:val="nil"/>
                <w:right w:val="nil"/>
                <w:between w:val="nil"/>
              </w:pBdr>
              <w:spacing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w:t>
            </w:r>
          </w:p>
        </w:tc>
        <w:tc>
          <w:tcPr>
            <w:tcW w:w="7405" w:type="dxa"/>
          </w:tcPr>
          <w:p w:rsidR="00216A2C" w:rsidRDefault="002B0A61">
            <w:pPr>
              <w:pBdr>
                <w:top w:val="nil"/>
                <w:left w:val="nil"/>
                <w:bottom w:val="nil"/>
                <w:right w:val="nil"/>
                <w:between w:val="nil"/>
              </w:pBdr>
              <w:tabs>
                <w:tab w:val="left" w:pos="426"/>
                <w:tab w:val="left" w:pos="851"/>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Координація та контроль за ходом виконання Програми</w:t>
            </w:r>
          </w:p>
        </w:tc>
        <w:tc>
          <w:tcPr>
            <w:tcW w:w="1427" w:type="dxa"/>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bl>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І. Паспорт Програми фінансової підтримки Комунального некомерційного підприємства «Центр соціальних служб» Боярської міської ради </w:t>
      </w: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на 2026 рік</w:t>
      </w: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tbl>
      <w:tblPr>
        <w:tblStyle w:val="afa"/>
        <w:tblW w:w="9611" w:type="dxa"/>
        <w:tblInd w:w="-113" w:type="dxa"/>
        <w:tblLayout w:type="fixed"/>
        <w:tblLook w:val="0000" w:firstRow="0" w:lastRow="0" w:firstColumn="0" w:lastColumn="0" w:noHBand="0" w:noVBand="0"/>
      </w:tblPr>
      <w:tblGrid>
        <w:gridCol w:w="786"/>
        <w:gridCol w:w="3580"/>
        <w:gridCol w:w="5245"/>
      </w:tblGrid>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Ініціатор розроблення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КНП «Центр соціальних служб» Боярської міської ради</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Розробник Програми</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КНП «Центр соціальних служб» Боярської міської ради</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Відповідальний виконавець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КНП «Центр соціальних служб» Боярської міської ради </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Учасники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Управління соціального захисту населення Боярської міської ради, Виконавчий комітет Боярської міської ради, інші виконавчі органи місцевого самоврядування, КНП «Центр соціальних служб» Боярської міської ради</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Термін реалізації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2026 рік</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Джерела фінансування Програми </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Бюджет Боярської міської територіальної громади, субвенції з державного, обласного бюджетів та інші джерела, не заборонені законодавством</w:t>
            </w:r>
          </w:p>
        </w:tc>
      </w:tr>
      <w:tr w:rsidR="00216A2C">
        <w:tc>
          <w:tcPr>
            <w:tcW w:w="786"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580" w:type="dxa"/>
            <w:tcBorders>
              <w:top w:val="single" w:sz="4" w:space="0" w:color="000000"/>
              <w:left w:val="single" w:sz="4" w:space="0" w:color="000000"/>
              <w:bottom w:val="single" w:sz="4" w:space="0" w:color="000000"/>
            </w:tcBorders>
            <w:vAlign w:val="center"/>
          </w:tcPr>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Загальний обсяг фінансових ресурсів, необхідних для реалізації Програми, всього</w:t>
            </w:r>
          </w:p>
        </w:tc>
        <w:tc>
          <w:tcPr>
            <w:tcW w:w="5245" w:type="dxa"/>
            <w:tcBorders>
              <w:top w:val="single" w:sz="4" w:space="0" w:color="000000"/>
              <w:left w:val="single" w:sz="4" w:space="0" w:color="000000"/>
              <w:bottom w:val="single" w:sz="4" w:space="0" w:color="000000"/>
              <w:right w:val="single" w:sz="4" w:space="0" w:color="000000"/>
            </w:tcBorders>
            <w:vAlign w:val="center"/>
          </w:tcPr>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фінансового плану</w:t>
            </w: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tc>
      </w:tr>
    </w:tbl>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ІІ. Обґрунтування необхідності прийняття Програми</w:t>
      </w:r>
    </w:p>
    <w:p w:rsidR="00216A2C" w:rsidRDefault="00216A2C">
      <w:pPr>
        <w:pBdr>
          <w:top w:val="nil"/>
          <w:left w:val="nil"/>
          <w:bottom w:val="nil"/>
          <w:right w:val="nil"/>
          <w:between w:val="nil"/>
        </w:pBdr>
        <w:jc w:val="cente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Проблемами у сфері соціальної роботи із сім’ями, дітьми та молоддю, які належать до вразливих груп населення та/або перебувають у складних життєвих обставинах, наданні соціальні послуги, а також наданні послуг з підтримки переходу від військової служби до цивільного життя Боярської міської територіальної громади є недостатність фінансових, у першу чергу, бюджетних ресурсів для забезпечення ефективного функціонування системи соціального захисту населення, недосконалість нормативно-правової бази та складність забезпечення якісних послуг соціального характеру.</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Затвердження Програми фінансової підтримки Комунального некомерційного підприємства «Центр соціальних служб» Боярської міської ради на 2026 рік (далі – Програма) дозволить запровадити системний підхід до вирішення сучасних викликів соціальної сфери, зміцнити потенціал соціальної галузі, підвищити її ефективність, забезпечити безпеку населення  під час повномасштабного вторгнення рф. </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«Порядку організації надання соціальних послуг», затвердженого постановою Кабінету Міністрів України від 1 червня 2020 року № 587 забезпечення надання базових соціальних послуг особам/сім’ям відповідно до їх потреб, вжиття заходів до надання інших соціальних послуг таким особам/сім’ям покладається на </w:t>
      </w:r>
      <w:r>
        <w:rPr>
          <w:rFonts w:ascii="Times New Roman" w:eastAsia="Times New Roman" w:hAnsi="Times New Roman" w:cs="Times New Roman"/>
          <w:color w:val="333333"/>
          <w:sz w:val="28"/>
          <w:szCs w:val="28"/>
          <w:highlight w:val="white"/>
        </w:rPr>
        <w:t>виконавчі органи сільських, селищних, міських рад</w:t>
      </w:r>
      <w:r>
        <w:rPr>
          <w:rFonts w:ascii="Times New Roman" w:eastAsia="Times New Roman" w:hAnsi="Times New Roman" w:cs="Times New Roman"/>
          <w:color w:val="000000"/>
          <w:sz w:val="28"/>
          <w:szCs w:val="28"/>
        </w:rPr>
        <w:t xml:space="preserve">. Як наслідок, фінансове навантаження повністю лягає на бюджет громади. </w:t>
      </w:r>
    </w:p>
    <w:p w:rsidR="00216A2C" w:rsidRDefault="002B0A61">
      <w:pPr>
        <w:pBdr>
          <w:top w:val="nil"/>
          <w:left w:val="nil"/>
          <w:bottom w:val="nil"/>
          <w:right w:val="nil"/>
          <w:between w:val="nil"/>
        </w:pBdr>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Враховуючи зазначене, Бюджетним Кодексом України передбачено можливість затвердження місцевих програм підтримки та розвитку комунальних неприбуткових підприємств, що повністю утримуються за рахунок відповідного місцевого бюджету, зокрема щодо їх поточного утримання та оновлення матеріально-технічної бази, капітального ремонту, реконструкції, підвищення оплати праці працівників (передбачення місцевих стимулів),   забезпечення оплати соціальних послуг, що надаються в рамках державних стандартів надання соціальних послуг населенню, для покриття вартості комунальних послуг та енергоносіїв. </w:t>
      </w:r>
    </w:p>
    <w:p w:rsidR="00216A2C" w:rsidRDefault="00216A2C">
      <w:pPr>
        <w:pBdr>
          <w:top w:val="nil"/>
          <w:left w:val="nil"/>
          <w:bottom w:val="nil"/>
          <w:right w:val="nil"/>
          <w:between w:val="nil"/>
        </w:pBdr>
        <w:ind w:firstLine="709"/>
        <w:jc w:val="both"/>
        <w:rPr>
          <w:rFonts w:ascii="Times New Roman" w:eastAsia="Times New Roman" w:hAnsi="Times New Roman" w:cs="Times New Roman"/>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ІІІ. Мета і завдання Програми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Мета Програми – підтримка сталого функціонування та розвиток надавача соціальних послуг шляхом фінансування  поточних та капітальних видатків для належного забезпечення надання соціальних послуг населенню, створення максимально сприятливих умов роботи фахівців з соціальної роботи та комфорту мешканців громади, попередження виникнення та мінімізації складних життєвих обставин.</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якості та доступності соціальних послуг населенню за напрямками: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соціально-профілактичної роботи, спрямованої на запобігання потраплянню у складні життєві обставини осіб та сімей з дітьми;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надання особам і сім’ям з дітьми комплексу соціальних послуг відповідно до їх потреб згідно з переліком, затвердженим центральним органом виконавчої влади, який забезпечує формування та реалізацію державної політики у сфері </w:t>
      </w:r>
      <w:r>
        <w:rPr>
          <w:rFonts w:ascii="Times New Roman" w:eastAsia="Times New Roman" w:hAnsi="Times New Roman" w:cs="Times New Roman"/>
          <w:color w:val="000000"/>
          <w:sz w:val="28"/>
          <w:szCs w:val="28"/>
        </w:rPr>
        <w:lastRenderedPageBreak/>
        <w:t>сім’ї та дітей, з метою подолання складних життєвих обставин та мінімізації негативних наслідків таких обставин;</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здійснення заходів щодо запобігання потраплянню у складні життєві обставини осіб та сімей, упровадження новітніх соціальних технологій, спрямованих на недопущення, мінімізацію чи подолання складних життєвих обставин;</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виявлення отримувачів соціальних послуг та ведення їх обліку;</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здійснення заходів щодо соціальної та психологічної адаптації дітей-сиріт і дітей, позбавлених батьківського піклування, осіб з їх числа з метою підготовки до самостійного життя, організації наставництва;</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оцінювання потреб осіб/сімей, які належать до вразливих груп населення та/або перебувають у складних життєвих обставинах, у соціальних послугах, визначення методів соціальної роботи, забезпечення психологічної підтримки;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надання соціальних послуг відповідно до державних стандартів соціальних послуг, зокрема:</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(001.0) інформування;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(002.0)  консультування;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(003.0) посередництво (медіація);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(004.0) представництва інтересів;</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(007.0)  соціальна профілактика;</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(010.0) соціальний супровід;</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(010.1) соціальний супровід сімей, які перебувають у складних життєвих обставинах;</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(010.2) соціальний супровід сімей, в яких виховуються діти-сироти та діти, позбавлені батьківського піклування;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(012.0) кризове та екстрене втручання;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(013.0) соціальна адаптація;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(014.0) соціальна інтеграція та реінтеграція;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(015.3.1) денний догляд дітей з інвалідністю;</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(017.2) соціально-психологічна реабілітація;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(020.0) супровід під час інклюзивного навчання.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соціального патронажу осіб, які відбули покарання у вигляді обмеження або позбавлення волі на певний строк, а також звільнених від подальшого відбування зазначених видів покарань на підставах, передбачених законом;</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підтримка психічного здоров’я населення та зниження загального рівня стресу і тривожності серед громадян;</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адаптація осіб / сімей / жителів територіальної громади до кризових ситуацій (зокрема, воєнних дій, тимчасової окупації, повсюдних проявів насильства, порушень прав людини та надзвичайних ситуацій природного чи техногенного характеру тощо), набуття навичок стресостійкості (як комплексу особистісних якостей, який дає змогу переносити значні інтелектуальні, вольові та емоційні навантаження без особливих шкідливих наслідків для власного здоров’я, інших людей та професійної діяльності) задля повноцінного функціонування та запобігання психологічній травматизації та мінімізації ризиків повторних випадків психологічної травматизації (ретравматизації);</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зміцнення сімейних і родинних зв’язків та сприяння розвитку батьківських компетентностей;</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зміцнення та координація волонтерського руху у сфері надання соціальних послуг;</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соціальної згуртованості громади;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участь в організації заходів із забезпечення реалізації переходу від військової служби до цивільного життя.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упродовж 2025 року до Центру надійшло 40 рішень Управління соціального захисту населення Боярської міської  ради щодо надання різних соціальних послуг жителям громади. Наразі працівники КНП «ЦСС» БМР здійснюють 21 соціальний супровід (консультування, інформування, посередництво (медіація), соціальний супровід сімей (осіб), які перебувають у складних життєвих обставинах, соціальне супроводження прийомних сімей та будинків сімейного типу та інші). </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Зокрема, фахівці із соціальної роботи здійснюють соціальний супровід прийомних сімей (2 ПС), дитячих будинків сімейного типу (11 ДБСТ) та сімей-опікунів (8 сімей), де вього виховується 88 дітей-сиріт, та дітей, позбавлених батьківського піклування.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Соціальні робітники відділення надання соціальних послуг за місцем проживання/перебування Центру надають 3 соціальні послуги супроводу під час інклюзивного навчання.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Станом на грудень 2025 року фахівці Центру здійснили 417 виїздів за місцем проживання осіб для складання актів оцінок потреб сім'ї, перевірки інформації.</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КНП «ЦСС» БМР бере участь у реалізації експериментального проєкту із запровадження комплексної соціальної послуги з формування життєстійкості, спрямованої на підтримку психічного здоров’я населення, зниження рівня стресу та тривожності, а також допомогу мешканцям громади в адаптації до нових умов життя та кризових ситуацій.</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З цією метою, у межах проєкту, працівники Центру провели 1280 групових заходів для дітей та дорослих Боярської громади (майстер-класи, тренінги, навчальні та пізнавальні заняття). Психологи відділення соціальної роботи надали жителям громади 164 психологічні консультації.</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Програма сприятиме повноцінному функціонуванню та розвитку матеріально-технічної бази центру; забезпеченню потреб соціальних служб міської територіальної громади.</w:t>
      </w: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ІV. Фінансування Програми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Фінансування Програми здійснюватиметься відповідно до чинного законодавства за рахунок коштів бюджету Боярської міської територіальної громади, субвенцій з державного бю</w:t>
      </w:r>
      <w:r>
        <w:rPr>
          <w:rFonts w:ascii="Times New Roman" w:eastAsia="Times New Roman" w:hAnsi="Times New Roman" w:cs="Times New Roman"/>
          <w:sz w:val="28"/>
          <w:szCs w:val="28"/>
        </w:rPr>
        <w:t>джету</w:t>
      </w:r>
      <w:r>
        <w:rPr>
          <w:rFonts w:ascii="Times New Roman" w:eastAsia="Times New Roman" w:hAnsi="Times New Roman" w:cs="Times New Roman"/>
          <w:color w:val="000000"/>
          <w:sz w:val="28"/>
          <w:szCs w:val="28"/>
        </w:rPr>
        <w:t xml:space="preserve"> та інших джерел, не заборонених законодавством України (Додаток 1).</w:t>
      </w: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4E5A87" w:rsidRDefault="004E5A87">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 Заходи щодо реалізації Програми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метою належного забезпечення надання соціальних послуг, сталого функціонування, підтримки та розвитку Центру соціальних служб за цією програмою здійснюється фінансування їх видатків шляхом:</w:t>
      </w:r>
    </w:p>
    <w:p w:rsidR="00216A2C" w:rsidRDefault="002B0A61">
      <w:pPr>
        <w:numPr>
          <w:ilvl w:val="0"/>
          <w:numId w:val="1"/>
        </w:numPr>
        <w:pBdr>
          <w:top w:val="nil"/>
          <w:left w:val="nil"/>
          <w:bottom w:val="nil"/>
          <w:right w:val="nil"/>
          <w:between w:val="nil"/>
        </w:pBdr>
        <w:tabs>
          <w:tab w:val="left" w:pos="993"/>
          <w:tab w:val="left" w:pos="1418"/>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Фінансування з бюджету Боярської міської територіальної громади та інших джерел, не заборонених законодавством, оплати соціальних послуг, що надаються в рамках державних стандартів надання соціальних послуг населенню, зокрема, але не виключно, для покриття вартості наступних видатків:</w:t>
      </w:r>
    </w:p>
    <w:p w:rsidR="00216A2C" w:rsidRDefault="002B0A61">
      <w:pPr>
        <w:numPr>
          <w:ilvl w:val="1"/>
          <w:numId w:val="1"/>
        </w:numPr>
        <w:pBdr>
          <w:top w:val="nil"/>
          <w:left w:val="nil"/>
          <w:bottom w:val="nil"/>
          <w:right w:val="nil"/>
          <w:between w:val="nil"/>
        </w:pBdr>
        <w:tabs>
          <w:tab w:val="left" w:pos="709"/>
          <w:tab w:val="left" w:pos="993"/>
        </w:tabs>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поточного утримання та функціонування центру, у тому числі:</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підвищення оплати праці працівників соціальних служб (передбачення місцевих стимулів у вигляді преміювання);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придбання предметів, матеріалів, обладнання та інвентарю;</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оплата послуг (крім комунальних);</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видатки на відрядження;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продукти харчування;</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інші поточні видатки.</w:t>
      </w:r>
    </w:p>
    <w:p w:rsidR="00216A2C" w:rsidRDefault="00216A2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216A2C" w:rsidRDefault="002B0A61">
      <w:pPr>
        <w:numPr>
          <w:ilvl w:val="0"/>
          <w:numId w:val="2"/>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покриття вартості комунальних послуг та енергоносіїв Центру.</w:t>
      </w:r>
    </w:p>
    <w:p w:rsidR="00216A2C" w:rsidRDefault="002B0A61">
      <w:pPr>
        <w:numPr>
          <w:ilvl w:val="0"/>
          <w:numId w:val="2"/>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надання соціальних послуг, проведення видатків та придбання товарів, витратних матеріалів.</w:t>
      </w:r>
    </w:p>
    <w:p w:rsidR="00216A2C" w:rsidRDefault="00216A2C">
      <w:pPr>
        <w:pBdr>
          <w:top w:val="nil"/>
          <w:left w:val="nil"/>
          <w:bottom w:val="nil"/>
          <w:right w:val="nil"/>
          <w:between w:val="nil"/>
        </w:pBdr>
        <w:jc w:val="center"/>
        <w:rPr>
          <w:rFonts w:ascii="Times New Roman" w:eastAsia="Times New Roman" w:hAnsi="Times New Roman" w:cs="Times New Roman"/>
          <w:b/>
          <w:bCs/>
          <w:color w:val="000000"/>
          <w:sz w:val="28"/>
          <w:szCs w:val="28"/>
        </w:rPr>
      </w:pPr>
    </w:p>
    <w:p w:rsidR="00216A2C" w:rsidRDefault="002B0A6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VІ. Координація та контроль за ходом виконання Програми</w:t>
      </w:r>
    </w:p>
    <w:p w:rsidR="00216A2C" w:rsidRDefault="002B0A61">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Управління, координацію та контроль виконання Програми здійснює КНП </w:t>
      </w:r>
      <w:r>
        <w:rPr>
          <w:rFonts w:ascii="Times New Roman" w:eastAsia="Times New Roman" w:hAnsi="Times New Roman" w:cs="Times New Roman"/>
          <w:sz w:val="28"/>
          <w:szCs w:val="28"/>
        </w:rPr>
        <w:t>“Ц</w:t>
      </w:r>
      <w:r>
        <w:rPr>
          <w:rFonts w:ascii="Times New Roman" w:eastAsia="Times New Roman" w:hAnsi="Times New Roman" w:cs="Times New Roman"/>
          <w:color w:val="000000"/>
          <w:sz w:val="28"/>
          <w:szCs w:val="28"/>
        </w:rPr>
        <w:t>ентр соціальних служб</w:t>
      </w:r>
      <w:r>
        <w:rPr>
          <w:rFonts w:ascii="Times New Roman" w:eastAsia="Times New Roman" w:hAnsi="Times New Roman" w:cs="Times New Roman"/>
          <w:sz w:val="28"/>
          <w:szCs w:val="28"/>
        </w:rPr>
        <w:t>” Боярської міської ради</w:t>
      </w:r>
      <w:r>
        <w:rPr>
          <w:rFonts w:ascii="Times New Roman" w:eastAsia="Times New Roman" w:hAnsi="Times New Roman" w:cs="Times New Roman"/>
          <w:color w:val="000000"/>
          <w:sz w:val="28"/>
          <w:szCs w:val="28"/>
        </w:rPr>
        <w:t>.</w:t>
      </w:r>
    </w:p>
    <w:p w:rsidR="00216A2C" w:rsidRDefault="00216A2C">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16A2C">
      <w:pPr>
        <w:pBdr>
          <w:top w:val="nil"/>
          <w:left w:val="nil"/>
          <w:bottom w:val="nil"/>
          <w:right w:val="nil"/>
          <w:between w:val="nil"/>
        </w:pBdr>
        <w:rPr>
          <w:rFonts w:ascii="Times New Roman" w:eastAsia="Times New Roman" w:hAnsi="Times New Roman" w:cs="Times New Roman"/>
          <w:color w:val="000000"/>
          <w:sz w:val="28"/>
          <w:szCs w:val="28"/>
        </w:rPr>
      </w:pPr>
    </w:p>
    <w:p w:rsidR="00216A2C" w:rsidRDefault="002B0A61">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ЗАСТУПНИК МІСЬКОГО ГОЛОВИ                              Наталія УЛЬЯНОВА</w:t>
      </w:r>
    </w:p>
    <w:p w:rsidR="00216A2C" w:rsidRDefault="00216A2C">
      <w:pPr>
        <w:pBdr>
          <w:top w:val="nil"/>
          <w:left w:val="nil"/>
          <w:bottom w:val="nil"/>
          <w:right w:val="nil"/>
          <w:between w:val="nil"/>
        </w:pBdr>
        <w:shd w:val="clear" w:color="auto" w:fill="FFFFFF"/>
        <w:jc w:val="both"/>
        <w:rPr>
          <w:rFonts w:ascii="Times New Roman" w:eastAsia="Times New Roman" w:hAnsi="Times New Roman" w:cs="Times New Roman"/>
          <w:b/>
          <w:bCs/>
          <w:i/>
          <w:iCs/>
          <w:sz w:val="28"/>
          <w:szCs w:val="28"/>
        </w:rPr>
      </w:pPr>
    </w:p>
    <w:p w:rsidR="00216A2C" w:rsidRDefault="00216A2C">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ED1148" w:rsidRDefault="00ED1148">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bookmarkStart w:id="1" w:name="_heading=h.8489ub1fcmve" w:colFirst="0" w:colLast="0"/>
      <w:bookmarkEnd w:id="1"/>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4E5A87" w:rsidRDefault="004E5A87">
      <w:pPr>
        <w:pBdr>
          <w:top w:val="nil"/>
          <w:left w:val="nil"/>
          <w:bottom w:val="nil"/>
          <w:right w:val="nil"/>
          <w:between w:val="nil"/>
        </w:pBdr>
        <w:shd w:val="clear" w:color="auto" w:fill="FFFFFF"/>
        <w:ind w:left="4820"/>
        <w:jc w:val="both"/>
        <w:rPr>
          <w:rFonts w:ascii="Times New Roman" w:eastAsia="Times New Roman" w:hAnsi="Times New Roman" w:cs="Times New Roman"/>
          <w:b/>
          <w:bCs/>
          <w:i/>
          <w:iCs/>
          <w:color w:val="000000"/>
          <w:sz w:val="28"/>
          <w:szCs w:val="28"/>
        </w:rPr>
      </w:pPr>
    </w:p>
    <w:p w:rsidR="00216A2C" w:rsidRDefault="002B0A61">
      <w:pPr>
        <w:pBdr>
          <w:top w:val="nil"/>
          <w:left w:val="nil"/>
          <w:bottom w:val="nil"/>
          <w:right w:val="nil"/>
          <w:between w:val="nil"/>
        </w:pBdr>
        <w:shd w:val="clear" w:color="auto" w:fill="FFFFFF"/>
        <w:ind w:left="48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lastRenderedPageBreak/>
        <w:t>Додаток 1</w:t>
      </w:r>
    </w:p>
    <w:p w:rsidR="00216A2C" w:rsidRDefault="002B0A61">
      <w:pPr>
        <w:pBdr>
          <w:top w:val="nil"/>
          <w:left w:val="nil"/>
          <w:bottom w:val="nil"/>
          <w:right w:val="nil"/>
          <w:between w:val="nil"/>
        </w:pBdr>
        <w:ind w:left="48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до Програми </w:t>
      </w:r>
    </w:p>
    <w:p w:rsidR="00216A2C" w:rsidRDefault="002B0A61">
      <w:pPr>
        <w:pBdr>
          <w:top w:val="nil"/>
          <w:left w:val="nil"/>
          <w:bottom w:val="nil"/>
          <w:right w:val="nil"/>
          <w:between w:val="nil"/>
        </w:pBdr>
        <w:ind w:left="48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фінансової підтримки Комунального </w:t>
      </w:r>
    </w:p>
    <w:p w:rsidR="00216A2C" w:rsidRDefault="002B0A61">
      <w:pPr>
        <w:pBdr>
          <w:top w:val="nil"/>
          <w:left w:val="nil"/>
          <w:bottom w:val="nil"/>
          <w:right w:val="nil"/>
          <w:between w:val="nil"/>
        </w:pBdr>
        <w:ind w:left="48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некомерційного підприємства </w:t>
      </w:r>
    </w:p>
    <w:p w:rsidR="00216A2C" w:rsidRDefault="002B0A61">
      <w:pPr>
        <w:pBdr>
          <w:top w:val="nil"/>
          <w:left w:val="nil"/>
          <w:bottom w:val="nil"/>
          <w:right w:val="nil"/>
          <w:between w:val="nil"/>
        </w:pBdr>
        <w:ind w:left="48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«Центр соціальних служб» </w:t>
      </w:r>
    </w:p>
    <w:p w:rsidR="00216A2C" w:rsidRDefault="002B0A61">
      <w:pPr>
        <w:pBdr>
          <w:top w:val="nil"/>
          <w:left w:val="nil"/>
          <w:bottom w:val="nil"/>
          <w:right w:val="nil"/>
          <w:between w:val="nil"/>
        </w:pBdr>
        <w:ind w:left="48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Боярської міської ради на 2026 рік</w:t>
      </w:r>
    </w:p>
    <w:p w:rsidR="00216A2C" w:rsidRDefault="002B0A61">
      <w:pPr>
        <w:ind w:left="4818"/>
        <w:rPr>
          <w:rFonts w:ascii="Times New Roman" w:eastAsia="Times New Roman" w:hAnsi="Times New Roman" w:cs="Times New Roman"/>
          <w:sz w:val="24"/>
          <w:szCs w:val="24"/>
        </w:rPr>
      </w:pPr>
      <w:r>
        <w:rPr>
          <w:rFonts w:ascii="Times New Roman" w:eastAsia="Times New Roman" w:hAnsi="Times New Roman" w:cs="Times New Roman"/>
          <w:i/>
          <w:iCs/>
          <w:sz w:val="28"/>
          <w:szCs w:val="28"/>
        </w:rPr>
        <w:t>«ЗАТВЕРДЖЕНО»</w:t>
      </w:r>
      <w:r>
        <w:rPr>
          <w:rFonts w:ascii="Times New Roman" w:eastAsia="Times New Roman" w:hAnsi="Times New Roman" w:cs="Times New Roman"/>
          <w:sz w:val="24"/>
          <w:szCs w:val="24"/>
        </w:rPr>
        <w:t xml:space="preserve"> </w:t>
      </w:r>
    </w:p>
    <w:p w:rsidR="00216A2C" w:rsidRDefault="002B0A61">
      <w:pPr>
        <w:ind w:left="4818"/>
        <w:rPr>
          <w:rFonts w:ascii="Times New Roman" w:eastAsia="Times New Roman" w:hAnsi="Times New Roman" w:cs="Times New Roman"/>
          <w:sz w:val="24"/>
          <w:szCs w:val="24"/>
        </w:rPr>
      </w:pPr>
      <w:r>
        <w:rPr>
          <w:rFonts w:ascii="Times New Roman" w:eastAsia="Times New Roman" w:hAnsi="Times New Roman" w:cs="Times New Roman"/>
          <w:i/>
          <w:iCs/>
          <w:sz w:val="28"/>
          <w:szCs w:val="28"/>
        </w:rPr>
        <w:t>Рішенням Боярської міської ради</w:t>
      </w:r>
    </w:p>
    <w:p w:rsidR="00216A2C" w:rsidRDefault="0047269F">
      <w:pPr>
        <w:ind w:left="4818"/>
        <w:rPr>
          <w:rFonts w:ascii="Times New Roman" w:eastAsia="Times New Roman" w:hAnsi="Times New Roman" w:cs="Times New Roman"/>
          <w:b/>
          <w:bCs/>
          <w:i/>
          <w:iCs/>
          <w:sz w:val="28"/>
          <w:szCs w:val="28"/>
        </w:rPr>
      </w:pPr>
      <w:r>
        <w:rPr>
          <w:rFonts w:ascii="Times New Roman" w:eastAsia="Times New Roman" w:hAnsi="Times New Roman" w:cs="Times New Roman"/>
          <w:i/>
          <w:iCs/>
          <w:sz w:val="28"/>
          <w:szCs w:val="28"/>
        </w:rPr>
        <w:t xml:space="preserve">від 23 грудня 2025 року  № </w:t>
      </w:r>
      <w:r>
        <w:rPr>
          <w:rFonts w:ascii="Times New Roman" w:eastAsia="Times New Roman" w:hAnsi="Times New Roman" w:cs="Times New Roman"/>
          <w:i/>
          <w:iCs/>
          <w:sz w:val="28"/>
          <w:szCs w:val="28"/>
          <w:lang w:val="uk-UA"/>
        </w:rPr>
        <w:t>79</w:t>
      </w:r>
      <w:r>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lang w:val="uk-UA"/>
        </w:rPr>
        <w:t>4317</w:t>
      </w:r>
      <w:r w:rsidR="002B0A61">
        <w:rPr>
          <w:rFonts w:ascii="Times New Roman" w:eastAsia="Times New Roman" w:hAnsi="Times New Roman" w:cs="Times New Roman"/>
          <w:i/>
          <w:iCs/>
          <w:sz w:val="28"/>
          <w:szCs w:val="28"/>
        </w:rPr>
        <w:t xml:space="preserve">     </w:t>
      </w:r>
    </w:p>
    <w:p w:rsidR="00216A2C" w:rsidRDefault="00216A2C">
      <w:pPr>
        <w:pBdr>
          <w:top w:val="nil"/>
          <w:left w:val="nil"/>
          <w:bottom w:val="nil"/>
          <w:right w:val="nil"/>
          <w:between w:val="nil"/>
        </w:pBdr>
        <w:rPr>
          <w:rFonts w:ascii="Times New Roman" w:eastAsia="Times New Roman" w:hAnsi="Times New Roman" w:cs="Times New Roman"/>
          <w:i/>
          <w:iCs/>
          <w:sz w:val="28"/>
          <w:szCs w:val="28"/>
        </w:rPr>
      </w:pPr>
    </w:p>
    <w:p w:rsidR="00216A2C" w:rsidRDefault="002B0A61">
      <w:pPr>
        <w:spacing w:before="240"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ФІНАНСОВИЙ  ПЛАН НА 2026 рік</w:t>
      </w:r>
    </w:p>
    <w:p w:rsidR="00216A2C" w:rsidRDefault="002B0A61">
      <w:pPr>
        <w:spacing w:before="240"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КОМУНАЛЬНОГО НЕКОМЕРЦІЙНОГО ПІДПРИЄМСТВА</w:t>
      </w:r>
    </w:p>
    <w:p w:rsidR="00216A2C" w:rsidRDefault="002B0A61">
      <w:pPr>
        <w:pBdr>
          <w:top w:val="nil"/>
          <w:left w:val="nil"/>
          <w:bottom w:val="nil"/>
          <w:right w:val="nil"/>
          <w:between w:val="nil"/>
        </w:pBdr>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«ЦЕНТР СОЦІАЛЬНИХ СЛУЖБ» БОЯРСЬКОЇ МІСЬКОЇ РАДИ</w:t>
      </w:r>
    </w:p>
    <w:p w:rsidR="00216A2C" w:rsidRDefault="00216A2C">
      <w:pPr>
        <w:ind w:left="4820"/>
        <w:rPr>
          <w:rFonts w:ascii="Times New Roman" w:eastAsia="Times New Roman" w:hAnsi="Times New Roman" w:cs="Times New Roman"/>
          <w:i/>
          <w:iCs/>
          <w:sz w:val="28"/>
          <w:szCs w:val="28"/>
        </w:rPr>
      </w:pPr>
    </w:p>
    <w:tbl>
      <w:tblPr>
        <w:tblStyle w:val="afb"/>
        <w:tblW w:w="10305"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8490"/>
        <w:gridCol w:w="1815"/>
      </w:tblGrid>
      <w:tr w:rsidR="00216A2C">
        <w:trPr>
          <w:trHeight w:val="269"/>
        </w:trPr>
        <w:tc>
          <w:tcPr>
            <w:tcW w:w="84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Заробітна плата (КЕКВ 2111) (на 18 штатних одиниць)</w:t>
            </w:r>
          </w:p>
        </w:tc>
        <w:tc>
          <w:tcPr>
            <w:tcW w:w="18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Заробітна плата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vAlign w:val="bottom"/>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4 914 062,00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4 914 062,00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Нарахування на оплату праці (КЕКВ 2120)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Нарахування на оплату праці</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1 081 094,00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1 081 094,00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Товари малоцінні (КЕКВ 2210)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Канцелярія, матеріали, засоби захисту та дезінфекції, госптовари</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76 000,00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76 000,00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Продукти харчування (КЕКВ 2230)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16A2C">
            <w:pPr>
              <w:spacing w:before="240" w:line="276" w:lineRule="auto"/>
              <w:rPr>
                <w:rFonts w:ascii="Times New Roman" w:eastAsia="Times New Roman" w:hAnsi="Times New Roman" w:cs="Times New Roman"/>
                <w:b/>
                <w:bCs/>
                <w:i/>
                <w:iCs/>
                <w:sz w:val="28"/>
                <w:szCs w:val="28"/>
              </w:rPr>
            </w:pP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Вода, чай, кава, печиво, сіль, крупи (для проведення заходів)</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Послуги та роботи (КЕКВ 2240)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Послуги (програми, зв’язок, обслуг техніки, медогляд, охорона)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100 000,00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100 000,00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Відрядження 2250</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16A2C">
            <w:pPr>
              <w:spacing w:before="240" w:line="276" w:lineRule="auto"/>
              <w:rPr>
                <w:rFonts w:ascii="Times New Roman" w:eastAsia="Times New Roman" w:hAnsi="Times New Roman" w:cs="Times New Roman"/>
                <w:b/>
                <w:bCs/>
                <w:i/>
                <w:iCs/>
                <w:sz w:val="28"/>
                <w:szCs w:val="28"/>
              </w:rPr>
            </w:pP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Відрядження на навчання, підвищення кваліфікації, обміну досвідом</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Оплата теплопостачання 2271</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Теплопостачання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70 000,00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Електроенергія 2273</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електроенергії</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75 000,00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75 000,00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Вода та водовідведення 2272</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за воду та водовідведення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10 000,00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Оплата вивезення сміття 2275</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Оплата за вивіз сміття</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3 844,00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Всього</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3 844,00</w:t>
            </w:r>
          </w:p>
        </w:tc>
      </w:tr>
      <w:tr w:rsidR="00216A2C">
        <w:trPr>
          <w:trHeight w:val="269"/>
        </w:trPr>
        <w:tc>
          <w:tcPr>
            <w:tcW w:w="84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ЗАГАЛЬНА СУМА</w:t>
            </w:r>
          </w:p>
        </w:tc>
        <w:tc>
          <w:tcPr>
            <w:tcW w:w="1815" w:type="dxa"/>
            <w:tcBorders>
              <w:top w:val="nil"/>
              <w:left w:val="nil"/>
              <w:bottom w:val="single" w:sz="6" w:space="0" w:color="000000"/>
              <w:right w:val="single" w:sz="6" w:space="0" w:color="000000"/>
            </w:tcBorders>
            <w:tcMar>
              <w:top w:w="0" w:type="dxa"/>
              <w:left w:w="100" w:type="dxa"/>
              <w:bottom w:w="0" w:type="dxa"/>
              <w:right w:w="100" w:type="dxa"/>
            </w:tcMar>
          </w:tcPr>
          <w:p w:rsidR="00216A2C" w:rsidRDefault="002B0A61">
            <w:pPr>
              <w:spacing w:before="240"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6 350 000,00</w:t>
            </w:r>
          </w:p>
        </w:tc>
      </w:tr>
    </w:tbl>
    <w:p w:rsidR="00216A2C" w:rsidRDefault="00216A2C">
      <w:pPr>
        <w:pBdr>
          <w:top w:val="nil"/>
          <w:left w:val="nil"/>
          <w:bottom w:val="nil"/>
          <w:right w:val="nil"/>
          <w:between w:val="nil"/>
        </w:pBdr>
        <w:rPr>
          <w:rFonts w:ascii="Times New Roman" w:eastAsia="Times New Roman" w:hAnsi="Times New Roman" w:cs="Times New Roman"/>
          <w:i/>
          <w:iCs/>
          <w:sz w:val="28"/>
          <w:szCs w:val="28"/>
        </w:rPr>
      </w:pPr>
    </w:p>
    <w:p w:rsidR="00216A2C" w:rsidRDefault="00216A2C">
      <w:pPr>
        <w:pBdr>
          <w:top w:val="nil"/>
          <w:left w:val="nil"/>
          <w:bottom w:val="nil"/>
          <w:right w:val="nil"/>
          <w:between w:val="nil"/>
        </w:pBdr>
        <w:rPr>
          <w:rFonts w:ascii="Times New Roman" w:eastAsia="Times New Roman" w:hAnsi="Times New Roman" w:cs="Times New Roman"/>
          <w:i/>
          <w:iCs/>
          <w:sz w:val="28"/>
          <w:szCs w:val="28"/>
        </w:rPr>
      </w:pPr>
    </w:p>
    <w:p w:rsidR="00216A2C" w:rsidRDefault="00216A2C">
      <w:pPr>
        <w:pBdr>
          <w:top w:val="nil"/>
          <w:left w:val="nil"/>
          <w:bottom w:val="nil"/>
          <w:right w:val="nil"/>
          <w:between w:val="nil"/>
        </w:pBdr>
        <w:rPr>
          <w:rFonts w:ascii="Times New Roman" w:eastAsia="Times New Roman" w:hAnsi="Times New Roman" w:cs="Times New Roman"/>
          <w:b/>
          <w:bCs/>
          <w:sz w:val="28"/>
          <w:szCs w:val="28"/>
        </w:rPr>
      </w:pPr>
      <w:bookmarkStart w:id="2" w:name="_GoBack"/>
      <w:bookmarkEnd w:id="2"/>
    </w:p>
    <w:p w:rsidR="004E5A87" w:rsidRDefault="004E5A87">
      <w:pPr>
        <w:pBdr>
          <w:top w:val="nil"/>
          <w:left w:val="nil"/>
          <w:bottom w:val="nil"/>
          <w:right w:val="nil"/>
          <w:between w:val="nil"/>
        </w:pBdr>
        <w:rPr>
          <w:rFonts w:ascii="Times New Roman" w:eastAsia="Times New Roman" w:hAnsi="Times New Roman" w:cs="Times New Roman"/>
          <w:b/>
          <w:bCs/>
          <w:sz w:val="28"/>
          <w:szCs w:val="28"/>
        </w:rPr>
      </w:pPr>
    </w:p>
    <w:p w:rsidR="00216A2C" w:rsidRPr="004E5A87" w:rsidRDefault="002B0A61" w:rsidP="004E5A87">
      <w:pPr>
        <w:rPr>
          <w:rFonts w:ascii="Times New Roman" w:hAnsi="Times New Roman" w:cs="Times New Roman"/>
          <w:b/>
          <w:color w:val="000000"/>
          <w:sz w:val="28"/>
          <w:szCs w:val="28"/>
        </w:rPr>
      </w:pPr>
      <w:r w:rsidRPr="004E5A87">
        <w:rPr>
          <w:rFonts w:ascii="Times New Roman" w:hAnsi="Times New Roman" w:cs="Times New Roman"/>
          <w:b/>
          <w:sz w:val="28"/>
          <w:szCs w:val="28"/>
        </w:rPr>
        <w:t>ЗАСТУПНИК МІСЬКОГО ГОЛОВИ                               Наталія УЛЬЯНОВА</w:t>
      </w:r>
    </w:p>
    <w:sectPr w:rsidR="00216A2C" w:rsidRPr="004E5A87" w:rsidSect="002366B5">
      <w:headerReference w:type="even" r:id="rId8"/>
      <w:headerReference w:type="default" r:id="rId9"/>
      <w:pgSz w:w="11906" w:h="16838"/>
      <w:pgMar w:top="567" w:right="851" w:bottom="113" w:left="1418" w:header="709" w:footer="709"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93E" w:rsidRDefault="0018093E">
      <w:r>
        <w:separator/>
      </w:r>
    </w:p>
  </w:endnote>
  <w:endnote w:type="continuationSeparator" w:id="0">
    <w:p w:rsidR="0018093E" w:rsidRDefault="00180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901416A-E29D-4D83-88C1-A601B98663D0}"/>
    <w:embedBold r:id="rId2" w:fontKey="{5A21DF05-9A78-404F-91E4-7F0367ED6B69}"/>
  </w:font>
  <w:font w:name="Tahoma">
    <w:panose1 w:val="020B0604030504040204"/>
    <w:charset w:val="CC"/>
    <w:family w:val="swiss"/>
    <w:pitch w:val="variable"/>
    <w:sig w:usb0="E1002EFF" w:usb1="C000605B" w:usb2="00000029" w:usb3="00000000" w:csb0="000101FF" w:csb1="00000000"/>
    <w:embedRegular r:id="rId3" w:fontKey="{B8B15181-9130-4E67-8B76-081FAFD188BA}"/>
  </w:font>
  <w:font w:name="Courier New">
    <w:panose1 w:val="02070309020205020404"/>
    <w:charset w:val="CC"/>
    <w:family w:val="modern"/>
    <w:pitch w:val="fixed"/>
    <w:sig w:usb0="E0002EFF" w:usb1="C0007843" w:usb2="00000009" w:usb3="00000000" w:csb0="000001FF" w:csb1="00000000"/>
  </w:font>
  <w:font w:name="Antiqua">
    <w:altName w:val="Arial"/>
    <w:charset w:val="00"/>
    <w:family w:val="swiss"/>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embedItalic r:id="rId4" w:fontKey="{8CEEB832-FB87-4C02-94B7-2C484A4817E6}"/>
  </w:font>
  <w:font w:name="Segoe UI">
    <w:panose1 w:val="020B0502040204020203"/>
    <w:charset w:val="CC"/>
    <w:family w:val="swiss"/>
    <w:pitch w:val="variable"/>
    <w:sig w:usb0="E4002EFF" w:usb1="C000E47F" w:usb2="00000009" w:usb3="00000000" w:csb0="000001FF" w:csb1="00000000"/>
    <w:embedRegular r:id="rId5" w:fontKey="{C8EBAACD-EA6A-4A61-8866-3C34084362D7}"/>
  </w:font>
  <w:font w:name="Cambria">
    <w:panose1 w:val="02040503050406030204"/>
    <w:charset w:val="CC"/>
    <w:family w:val="roman"/>
    <w:pitch w:val="variable"/>
    <w:sig w:usb0="E00006FF" w:usb1="420024FF" w:usb2="02000000" w:usb3="00000000" w:csb0="0000019F" w:csb1="00000000"/>
    <w:embedRegular r:id="rId6" w:fontKey="{EBA13012-4785-4E0D-B12A-DE228BAB5EB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93E" w:rsidRDefault="0018093E">
      <w:r>
        <w:separator/>
      </w:r>
    </w:p>
  </w:footnote>
  <w:footnote w:type="continuationSeparator" w:id="0">
    <w:p w:rsidR="0018093E" w:rsidRDefault="00180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A2C" w:rsidRDefault="002B0A6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216A2C" w:rsidRDefault="00216A2C">
    <w:pPr>
      <w:pBdr>
        <w:top w:val="nil"/>
        <w:left w:val="nil"/>
        <w:bottom w:val="nil"/>
        <w:right w:val="nil"/>
        <w:between w:val="nil"/>
      </w:pBdr>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A2C" w:rsidRDefault="002B0A61">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292E1D">
      <w:rPr>
        <w:rFonts w:ascii="Times New Roman" w:eastAsia="Times New Roman" w:hAnsi="Times New Roman" w:cs="Times New Roman"/>
        <w:noProof/>
        <w:color w:val="000000"/>
        <w:sz w:val="24"/>
        <w:szCs w:val="24"/>
      </w:rPr>
      <w:t>8</w:t>
    </w:r>
    <w:r>
      <w:rPr>
        <w:rFonts w:ascii="Times New Roman" w:eastAsia="Times New Roman" w:hAnsi="Times New Roman" w:cs="Times New Roman"/>
        <w:color w:val="000000"/>
        <w:sz w:val="24"/>
        <w:szCs w:val="24"/>
      </w:rPr>
      <w:fldChar w:fldCharType="end"/>
    </w:r>
  </w:p>
  <w:p w:rsidR="00216A2C" w:rsidRDefault="00216A2C">
    <w:pPr>
      <w:pBdr>
        <w:top w:val="nil"/>
        <w:left w:val="nil"/>
        <w:bottom w:val="nil"/>
        <w:right w:val="nil"/>
        <w:between w:val="nil"/>
      </w:pBd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E85320"/>
    <w:multiLevelType w:val="multilevel"/>
    <w:tmpl w:val="96CA3862"/>
    <w:lvl w:ilvl="0">
      <w:start w:val="2"/>
      <w:numFmt w:val="decimal"/>
      <w:lvlText w:val="%1."/>
      <w:lvlJc w:val="left"/>
      <w:pPr>
        <w:ind w:left="420" w:hanging="420"/>
      </w:pPr>
      <w:rPr>
        <w:vertAlign w:val="baseline"/>
      </w:rPr>
    </w:lvl>
    <w:lvl w:ilvl="1">
      <w:start w:val="1"/>
      <w:numFmt w:val="decimal"/>
      <w:lvlText w:val="%1.%2."/>
      <w:lvlJc w:val="left"/>
      <w:pPr>
        <w:ind w:left="1438" w:hanging="719"/>
      </w:pPr>
      <w:rPr>
        <w:vertAlign w:val="baseline"/>
      </w:rPr>
    </w:lvl>
    <w:lvl w:ilvl="2">
      <w:start w:val="1"/>
      <w:numFmt w:val="decimal"/>
      <w:lvlText w:val="%1.%2.%3."/>
      <w:lvlJc w:val="left"/>
      <w:pPr>
        <w:ind w:left="2156" w:hanging="720"/>
      </w:pPr>
      <w:rPr>
        <w:vertAlign w:val="baseline"/>
      </w:rPr>
    </w:lvl>
    <w:lvl w:ilvl="3">
      <w:start w:val="1"/>
      <w:numFmt w:val="decimal"/>
      <w:lvlText w:val="%1.%2.%3.%4."/>
      <w:lvlJc w:val="left"/>
      <w:pPr>
        <w:ind w:left="3234" w:hanging="1080"/>
      </w:pPr>
      <w:rPr>
        <w:vertAlign w:val="baseline"/>
      </w:rPr>
    </w:lvl>
    <w:lvl w:ilvl="4">
      <w:start w:val="1"/>
      <w:numFmt w:val="decimal"/>
      <w:lvlText w:val="%1.%2.%3.%4.%5."/>
      <w:lvlJc w:val="left"/>
      <w:pPr>
        <w:ind w:left="3952" w:hanging="1080"/>
      </w:pPr>
      <w:rPr>
        <w:vertAlign w:val="baseline"/>
      </w:rPr>
    </w:lvl>
    <w:lvl w:ilvl="5">
      <w:start w:val="1"/>
      <w:numFmt w:val="decimal"/>
      <w:lvlText w:val="%1.%2.%3.%4.%5.%6."/>
      <w:lvlJc w:val="left"/>
      <w:pPr>
        <w:ind w:left="5030" w:hanging="1440"/>
      </w:pPr>
      <w:rPr>
        <w:vertAlign w:val="baseline"/>
      </w:rPr>
    </w:lvl>
    <w:lvl w:ilvl="6">
      <w:start w:val="1"/>
      <w:numFmt w:val="decimal"/>
      <w:lvlText w:val="%1.%2.%3.%4.%5.%6.%7."/>
      <w:lvlJc w:val="left"/>
      <w:pPr>
        <w:ind w:left="6108" w:hanging="1800"/>
      </w:pPr>
      <w:rPr>
        <w:vertAlign w:val="baseline"/>
      </w:rPr>
    </w:lvl>
    <w:lvl w:ilvl="7">
      <w:start w:val="1"/>
      <w:numFmt w:val="decimal"/>
      <w:lvlText w:val="%1.%2.%3.%4.%5.%6.%7.%8."/>
      <w:lvlJc w:val="left"/>
      <w:pPr>
        <w:ind w:left="6826" w:hanging="1800"/>
      </w:pPr>
      <w:rPr>
        <w:vertAlign w:val="baseline"/>
      </w:rPr>
    </w:lvl>
    <w:lvl w:ilvl="8">
      <w:start w:val="1"/>
      <w:numFmt w:val="decimal"/>
      <w:lvlText w:val="%1.%2.%3.%4.%5.%6.%7.%8.%9."/>
      <w:lvlJc w:val="left"/>
      <w:pPr>
        <w:ind w:left="7904" w:hanging="2160"/>
      </w:pPr>
      <w:rPr>
        <w:vertAlign w:val="baseline"/>
      </w:rPr>
    </w:lvl>
  </w:abstractNum>
  <w:abstractNum w:abstractNumId="1" w15:restartNumberingAfterBreak="0">
    <w:nsid w:val="75A91ABB"/>
    <w:multiLevelType w:val="multilevel"/>
    <w:tmpl w:val="5FFA50D2"/>
    <w:lvl w:ilvl="0">
      <w:start w:val="1"/>
      <w:numFmt w:val="decimal"/>
      <w:lvlText w:val="%1."/>
      <w:lvlJc w:val="left"/>
      <w:pPr>
        <w:ind w:left="1864" w:hanging="1155"/>
      </w:pPr>
      <w:rPr>
        <w:vertAlign w:val="baseline"/>
      </w:rPr>
    </w:lvl>
    <w:lvl w:ilvl="1">
      <w:start w:val="1"/>
      <w:numFmt w:val="decimal"/>
      <w:lvlText w:val="%1.%2."/>
      <w:lvlJc w:val="left"/>
      <w:pPr>
        <w:ind w:left="1429" w:hanging="720"/>
      </w:pPr>
      <w:rPr>
        <w:vertAlign w:val="baseline"/>
      </w:rPr>
    </w:lvl>
    <w:lvl w:ilvl="2">
      <w:start w:val="1"/>
      <w:numFmt w:val="decimal"/>
      <w:lvlText w:val="%1.%2.%3."/>
      <w:lvlJc w:val="left"/>
      <w:pPr>
        <w:ind w:left="1429" w:hanging="720"/>
      </w:pPr>
      <w:rPr>
        <w:vertAlign w:val="baseline"/>
      </w:rPr>
    </w:lvl>
    <w:lvl w:ilvl="3">
      <w:start w:val="1"/>
      <w:numFmt w:val="decimal"/>
      <w:lvlText w:val="%1.%2.%3.%4."/>
      <w:lvlJc w:val="left"/>
      <w:pPr>
        <w:ind w:left="1789" w:hanging="1080"/>
      </w:pPr>
      <w:rPr>
        <w:vertAlign w:val="baseline"/>
      </w:rPr>
    </w:lvl>
    <w:lvl w:ilvl="4">
      <w:start w:val="1"/>
      <w:numFmt w:val="decimal"/>
      <w:lvlText w:val="%1.%2.%3.%4.%5."/>
      <w:lvlJc w:val="left"/>
      <w:pPr>
        <w:ind w:left="1789" w:hanging="1080"/>
      </w:pPr>
      <w:rPr>
        <w:vertAlign w:val="baseline"/>
      </w:rPr>
    </w:lvl>
    <w:lvl w:ilvl="5">
      <w:start w:val="1"/>
      <w:numFmt w:val="decimal"/>
      <w:lvlText w:val="%1.%2.%3.%4.%5.%6."/>
      <w:lvlJc w:val="left"/>
      <w:pPr>
        <w:ind w:left="2149" w:hanging="1440"/>
      </w:pPr>
      <w:rPr>
        <w:vertAlign w:val="baseline"/>
      </w:rPr>
    </w:lvl>
    <w:lvl w:ilvl="6">
      <w:start w:val="1"/>
      <w:numFmt w:val="decimal"/>
      <w:lvlText w:val="%1.%2.%3.%4.%5.%6.%7."/>
      <w:lvlJc w:val="left"/>
      <w:pPr>
        <w:ind w:left="2509" w:hanging="1800"/>
      </w:pPr>
      <w:rPr>
        <w:vertAlign w:val="baseline"/>
      </w:rPr>
    </w:lvl>
    <w:lvl w:ilvl="7">
      <w:start w:val="1"/>
      <w:numFmt w:val="decimal"/>
      <w:lvlText w:val="%1.%2.%3.%4.%5.%6.%7.%8."/>
      <w:lvlJc w:val="left"/>
      <w:pPr>
        <w:ind w:left="2509" w:hanging="1800"/>
      </w:pPr>
      <w:rPr>
        <w:vertAlign w:val="baseline"/>
      </w:rPr>
    </w:lvl>
    <w:lvl w:ilvl="8">
      <w:start w:val="1"/>
      <w:numFmt w:val="decimal"/>
      <w:lvlText w:val="%1.%2.%3.%4.%5.%6.%7.%8.%9."/>
      <w:lvlJc w:val="left"/>
      <w:pPr>
        <w:ind w:left="2869" w:hanging="216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A2C"/>
    <w:rsid w:val="0018093E"/>
    <w:rsid w:val="00216A2C"/>
    <w:rsid w:val="002366B5"/>
    <w:rsid w:val="00292E1D"/>
    <w:rsid w:val="002B0A61"/>
    <w:rsid w:val="0047269F"/>
    <w:rsid w:val="004E5A87"/>
    <w:rsid w:val="009C0E1D"/>
    <w:rsid w:val="00B029F0"/>
    <w:rsid w:val="00B725F6"/>
    <w:rsid w:val="00ED11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BF55B-556A-47C9-B81B-BC599474C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a">
    <w:name w:val="Звичайний"/>
    <w:pPr>
      <w:suppressAutoHyphens/>
      <w:spacing w:line="288" w:lineRule="auto"/>
      <w:ind w:leftChars="-1" w:left="-1" w:hangingChars="1" w:hanging="1"/>
      <w:textDirection w:val="btLr"/>
      <w:textAlignment w:val="top"/>
      <w:outlineLvl w:val="0"/>
    </w:pPr>
    <w:rPr>
      <w:rFonts w:ascii="Times New Roman" w:eastAsia="Times New Roman" w:hAnsi="Times New Roman"/>
      <w:position w:val="-1"/>
      <w:sz w:val="28"/>
      <w:szCs w:val="24"/>
    </w:rPr>
  </w:style>
  <w:style w:type="character" w:customStyle="1" w:styleId="a0">
    <w:name w:val="Шрифт абзацу за замовчуванням"/>
    <w:qFormat/>
    <w:rPr>
      <w:w w:val="100"/>
      <w:position w:val="-1"/>
      <w:effect w:val="none"/>
      <w:vertAlign w:val="baseline"/>
      <w:cs w:val="0"/>
      <w:em w:val="none"/>
    </w:rPr>
  </w:style>
  <w:style w:type="table" w:customStyle="1" w:styleId="a1">
    <w:name w:val="Звичайна таблиця"/>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Немає списку"/>
    <w:qFormat/>
  </w:style>
  <w:style w:type="paragraph" w:customStyle="1" w:styleId="a3">
    <w:name w:val="Без інтервалів"/>
    <w:pPr>
      <w:suppressAutoHyphens/>
      <w:spacing w:line="1" w:lineRule="atLeast"/>
      <w:ind w:leftChars="-1" w:left="-1" w:hangingChars="1" w:hanging="1"/>
      <w:textDirection w:val="btLr"/>
      <w:textAlignment w:val="top"/>
      <w:outlineLvl w:val="0"/>
    </w:pPr>
    <w:rPr>
      <w:position w:val="-1"/>
      <w:sz w:val="22"/>
      <w:szCs w:val="22"/>
      <w:lang w:val="ru-RU" w:eastAsia="en-US"/>
    </w:rPr>
  </w:style>
  <w:style w:type="paragraph" w:customStyle="1" w:styleId="a4">
    <w:name w:val="Абзац списку"/>
    <w:basedOn w:val="a"/>
    <w:pPr>
      <w:ind w:left="708"/>
    </w:pPr>
  </w:style>
  <w:style w:type="paragraph" w:customStyle="1" w:styleId="a5">
    <w:name w:val="Звичайний (веб)"/>
    <w:basedOn w:val="a"/>
    <w:pPr>
      <w:spacing w:before="100" w:beforeAutospacing="1" w:after="100" w:afterAutospacing="1" w:line="240" w:lineRule="auto"/>
    </w:pPr>
    <w:rPr>
      <w:sz w:val="24"/>
      <w:lang w:val="ru-RU" w:eastAsia="ru-RU"/>
    </w:rPr>
  </w:style>
  <w:style w:type="paragraph" w:customStyle="1" w:styleId="a6">
    <w:name w:val="Текст у виносці"/>
    <w:basedOn w:val="a"/>
    <w:pPr>
      <w:spacing w:line="240" w:lineRule="auto"/>
    </w:pPr>
    <w:rPr>
      <w:rFonts w:ascii="Tahoma" w:eastAsia="Calibri" w:hAnsi="Tahoma"/>
      <w:sz w:val="16"/>
      <w:szCs w:val="20"/>
    </w:rPr>
  </w:style>
  <w:style w:type="character" w:customStyle="1" w:styleId="a7">
    <w:name w:val="Текст у виносці Знак"/>
    <w:rPr>
      <w:rFonts w:ascii="Tahoma" w:hAnsi="Tahoma"/>
      <w:w w:val="100"/>
      <w:position w:val="-1"/>
      <w:sz w:val="16"/>
      <w:effect w:val="none"/>
      <w:vertAlign w:val="baseline"/>
      <w:cs w:val="0"/>
      <w:em w:val="none"/>
      <w:lang w:val="uk-UA" w:eastAsia="uk-UA"/>
    </w:rPr>
  </w:style>
  <w:style w:type="paragraph" w:customStyle="1" w:styleId="a8">
    <w:name w:val="Верхній колонтитул"/>
    <w:basedOn w:val="a"/>
    <w:pPr>
      <w:spacing w:line="240" w:lineRule="auto"/>
    </w:pPr>
    <w:rPr>
      <w:rFonts w:eastAsia="Calibri"/>
      <w:sz w:val="24"/>
      <w:szCs w:val="20"/>
    </w:rPr>
  </w:style>
  <w:style w:type="character" w:customStyle="1" w:styleId="a9">
    <w:name w:val="Верхній колонтитул Знак"/>
    <w:rPr>
      <w:rFonts w:ascii="Times New Roman" w:hAnsi="Times New Roman"/>
      <w:w w:val="100"/>
      <w:position w:val="-1"/>
      <w:sz w:val="24"/>
      <w:effect w:val="none"/>
      <w:vertAlign w:val="baseline"/>
      <w:cs w:val="0"/>
      <w:em w:val="none"/>
      <w:lang w:val="uk-UA" w:eastAsia="uk-UA"/>
    </w:rPr>
  </w:style>
  <w:style w:type="paragraph" w:customStyle="1" w:styleId="aa">
    <w:name w:val="Нижній колонтитул"/>
    <w:basedOn w:val="a"/>
    <w:pPr>
      <w:spacing w:line="240" w:lineRule="auto"/>
    </w:pPr>
    <w:rPr>
      <w:rFonts w:eastAsia="Calibri"/>
      <w:sz w:val="24"/>
      <w:szCs w:val="20"/>
    </w:rPr>
  </w:style>
  <w:style w:type="character" w:customStyle="1" w:styleId="ab">
    <w:name w:val="Нижній колонтитул Знак"/>
    <w:rPr>
      <w:rFonts w:ascii="Times New Roman" w:hAnsi="Times New Roman"/>
      <w:w w:val="100"/>
      <w:position w:val="-1"/>
      <w:sz w:val="24"/>
      <w:effect w:val="none"/>
      <w:vertAlign w:val="baseline"/>
      <w:cs w:val="0"/>
      <w:em w:val="none"/>
      <w:lang w:val="uk-UA" w:eastAsia="uk-UA"/>
    </w:rPr>
  </w:style>
  <w:style w:type="character" w:customStyle="1" w:styleId="ac">
    <w:name w:val="Номер сторінки"/>
    <w:rPr>
      <w:w w:val="100"/>
      <w:position w:val="-1"/>
      <w:effect w:val="none"/>
      <w:vertAlign w:val="baseline"/>
      <w:cs w:val="0"/>
      <w:em w:val="none"/>
    </w:rPr>
  </w:style>
  <w:style w:type="table" w:customStyle="1" w:styleId="ad">
    <w:name w:val="Сітка таблиці"/>
    <w:basedOn w:val="a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Виділення"/>
    <w:rPr>
      <w:i/>
      <w:w w:val="100"/>
      <w:position w:val="-1"/>
      <w:effect w:val="none"/>
      <w:vertAlign w:val="baseline"/>
      <w:cs w:val="0"/>
      <w:em w:val="none"/>
    </w:rPr>
  </w:style>
  <w:style w:type="paragraph" w:customStyle="1" w:styleId="HTML">
    <w:name w:val="Стандартний HTML"/>
    <w:basedOn w:val="a"/>
    <w:pPr>
      <w:spacing w:line="240" w:lineRule="auto"/>
    </w:pPr>
    <w:rPr>
      <w:rFonts w:ascii="Courier New" w:eastAsia="Calibri" w:hAnsi="Courier New"/>
      <w:sz w:val="20"/>
      <w:szCs w:val="20"/>
    </w:rPr>
  </w:style>
  <w:style w:type="character" w:customStyle="1" w:styleId="HTML0">
    <w:name w:val="Стандартний HTML Знак"/>
    <w:rPr>
      <w:rFonts w:ascii="Courier New" w:hAnsi="Courier New"/>
      <w:w w:val="100"/>
      <w:position w:val="-1"/>
      <w:effect w:val="none"/>
      <w:vertAlign w:val="baseline"/>
      <w:cs w:val="0"/>
      <w:em w:val="none"/>
    </w:rPr>
  </w:style>
  <w:style w:type="paragraph" w:customStyle="1" w:styleId="af">
    <w:name w:val="Нормальний текст"/>
    <w:basedOn w:val="a"/>
    <w:pPr>
      <w:spacing w:before="120" w:line="240" w:lineRule="auto"/>
      <w:ind w:firstLine="567"/>
    </w:pPr>
    <w:rPr>
      <w:rFonts w:ascii="Antiqua" w:hAnsi="Antiqua"/>
      <w:sz w:val="26"/>
      <w:szCs w:val="20"/>
      <w:lang w:eastAsia="ru-RU"/>
    </w:rPr>
  </w:style>
  <w:style w:type="paragraph" w:customStyle="1" w:styleId="af0">
    <w:name w:val="Основний текст з відступом"/>
    <w:basedOn w:val="a"/>
    <w:qFormat/>
    <w:pPr>
      <w:spacing w:line="240" w:lineRule="auto"/>
      <w:ind w:firstLine="709"/>
      <w:jc w:val="both"/>
    </w:pPr>
    <w:rPr>
      <w:szCs w:val="28"/>
    </w:rPr>
  </w:style>
  <w:style w:type="character" w:customStyle="1" w:styleId="af1">
    <w:name w:val="Основний текст з відступом Знак"/>
    <w:rPr>
      <w:rFonts w:ascii="Times New Roman" w:eastAsia="Times New Roman" w:hAnsi="Times New Roman"/>
      <w:w w:val="100"/>
      <w:position w:val="-1"/>
      <w:sz w:val="28"/>
      <w:szCs w:val="28"/>
      <w:effect w:val="none"/>
      <w:vertAlign w:val="baseline"/>
      <w:cs w:val="0"/>
      <w:em w:val="none"/>
      <w:lang w:val="uk-UA" w:eastAsia="uk-UA"/>
    </w:rPr>
  </w:style>
  <w:style w:type="paragraph" w:customStyle="1" w:styleId="rvps2">
    <w:name w:val="rvps2"/>
    <w:basedOn w:val="a"/>
    <w:pPr>
      <w:spacing w:before="100" w:beforeAutospacing="1" w:after="100" w:afterAutospacing="1" w:line="240" w:lineRule="auto"/>
    </w:pPr>
    <w:rPr>
      <w:sz w:val="24"/>
      <w:lang w:val="ru-RU" w:eastAsia="ru-RU"/>
    </w:rPr>
  </w:style>
  <w:style w:type="character" w:customStyle="1" w:styleId="rvts46">
    <w:name w:val="rvts46"/>
    <w:basedOn w:val="a0"/>
    <w:rPr>
      <w:w w:val="100"/>
      <w:position w:val="-1"/>
      <w:effect w:val="none"/>
      <w:vertAlign w:val="baseline"/>
      <w:cs w:val="0"/>
      <w:em w:val="none"/>
    </w:rPr>
  </w:style>
  <w:style w:type="character" w:customStyle="1" w:styleId="af2">
    <w:name w:val="Гіперпосилання"/>
    <w:qFormat/>
    <w:rPr>
      <w:color w:val="0000FF"/>
      <w:w w:val="100"/>
      <w:position w:val="-1"/>
      <w:u w:val="single"/>
      <w:effect w:val="none"/>
      <w:vertAlign w:val="baseline"/>
      <w:cs w:val="0"/>
      <w:em w:val="none"/>
    </w:rPr>
  </w:style>
  <w:style w:type="character" w:customStyle="1" w:styleId="af3">
    <w:name w:val="Без інтервалів Знак"/>
    <w:rPr>
      <w:w w:val="100"/>
      <w:position w:val="-1"/>
      <w:sz w:val="22"/>
      <w:szCs w:val="22"/>
      <w:effect w:val="none"/>
      <w:vertAlign w:val="baseline"/>
      <w:cs w:val="0"/>
      <w:em w:val="none"/>
      <w:lang w:val="ru-RU"/>
    </w:r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E5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UrjOig8li24RGfO31buF0MYivw==">CgMxLjAyCGguZ2pkZ3hzMg5oLjg0ODl1YjFmY212ZTgAciExQnFLOGt0aGhfX0swcnhYTlMtVXpmNi0yajRTRlpXQy0=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7831</Words>
  <Characters>4465</Characters>
  <Application>Microsoft Office Word</Application>
  <DocSecurity>0</DocSecurity>
  <Lines>37</Lines>
  <Paragraphs>24</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12272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Власник</cp:lastModifiedBy>
  <cp:revision>5</cp:revision>
  <cp:lastPrinted>2025-12-26T12:30:00Z</cp:lastPrinted>
  <dcterms:created xsi:type="dcterms:W3CDTF">2025-12-11T07:57:00Z</dcterms:created>
  <dcterms:modified xsi:type="dcterms:W3CDTF">2025-12-26T12:33:00Z</dcterms:modified>
</cp:coreProperties>
</file>