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3572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top"/>
          </w:tcPr>
          <w:p w14:paraId="18E9AAB8">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6E908482">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6AB4B949">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1/11</w:t>
            </w:r>
          </w:p>
        </w:tc>
      </w:tr>
    </w:tbl>
    <w:p w14:paraId="03B4AC73">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/10</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10</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5</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38</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10</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2603500" cy="76200"/>
                <wp:effectExtent l="0" t="0" r="6350" b="0"/>
                <wp:docPr id="1" name="Rectangles 1"/>
                <wp:cNvGraphicFramePr/>
                <a:graphic xmlns:a="http://schemas.openxmlformats.org/drawingml/2006/main">
                  <a:graphicData uri="http://schemas.microsoft.com/office/word/2010/wordprocessingShape">
                    <wps:wsp>
                      <wps:cNvSpPr/>
                      <wps:spPr>
                        <a:xfrm>
                          <a:off x="2266950" y="7729855"/>
                          <a:ext cx="260350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205pt;v-text-anchor:middle;" fillcolor="#FFFFFF [3212]" filled="t" stroked="f" coordsize="21600,21600" o:gfxdata="UEsDBAoAAAAAAIdO4kAAAAAAAAAAAAAAAAAEAAAAZHJzL1BLAwQUAAAACACHTuJALsWTbc8AAAAE&#10;AQAADwAAAGRycy9kb3ducmV2LnhtbE2PQUvDQBCF74L/YRnBm91NLCIxm4KCeLYtPU+y0yQ0Oxt2&#10;t238945e9DLweI8336s3i5/UhWIaA1soVgYUcRfcyL2F/e794RlUysgOp8Bk4YsSbJrbmxorF678&#10;SZdt7pWUcKrQwpDzXGmduoE8plWYicU7hugxi4y9dhGvUu4nXRrzpD2OLB8GnOltoO60PXsLOn/Q&#10;abeUB340a2xf43F/mLW193eFeQGVacl/YfjBF3RohKkNZ3ZJTRZkSP694q0LI7KVUGlAN7X+D998&#10;A1BLAwQUAAAACACHTuJAJttKfF0CAADDBAAADgAAAGRycy9lMm9Eb2MueG1srVTLbtswELwX6D8Q&#10;vNeyXdtJjMiBEcNFAaMxmhY90xQlEeCrJG05/foOKeXRtIccqgO1q13P7g5nfX1z1oqchA/SmpJO&#10;RmNKhOG2kqYp6fdv2w+XlITITMWUNaKkDyLQm9X7d9edW4qpba2qhCcAMWHZuZK2MbplUQTeCs3C&#10;yDphEKyt1yzC9U1RedYBXatiOh4vis76ynnLRQj4uumDdED0bwG0dS252Fh+1MLEHtULxSJGCq10&#10;ga5yt3UteLyr6yAiUSXFpDGfKAL7kM5idc2WjWeulXxogb2lhVczaSYNij5BbVhk5OjlX1Bacm+D&#10;reOIW130g2RGMMVk/Iqb+5Y5kWcB1cE9kR7+Hyz/ctp7IisogRLDNC78K0hjplEikEnip3NhibR7&#10;t/eDF2CmYc+11+mNMci5pNPpYnE1B7MPJb24mF5dzuc9v+IcCU8Ji/HH+RgJPGUsoIYUL56BnA/x&#10;k7CaJKOkHp1kVtlpF2Kf+piS6garZLWVSmXHN4db5cmJ4aq3+RnQ/0hThnToZD7LfTAIuIZw0JJ2&#10;ICGYhhKmGmwGjz7XNjZVQHG2TLU3LLR9jQw7lFAGcySiemqSdbDVA6j1ttdccHwr8fsdC3HPPEQG&#10;HrCG8Q5HrSyasoNFSWv9r399T/m4e0Qp6SBaNPzzyLygRH02UMXVZDYDbMzObH4xheNfRg4vI+ao&#10;by3Iws2ju2ym/Kgezdpb/QPbuk5VEWKGo3ZPzeDcxn6ZsO9crNc5Dcp2LO7MveMJPDFn7PoYbS3z&#10;JT6zM5AGbWcZDHuYlueln7Oe/3t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uxZNtzwAAAAQB&#10;AAAPAAAAAAAAAAEAIAAAACIAAABkcnMvZG93bnJldi54bWxQSwECFAAUAAAACACHTuJAJttKfF0C&#10;AADDBAAADgAAAAAAAAABACAAAAAeAQAAZHJzL2Uyb0RvYy54bWxQSwUGAAAAAAYABgBZAQAA7QUA&#10;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у</w:t>
      </w:r>
      <w:r>
        <w:rPr>
          <w:rFonts w:hint="default" w:ascii="Times New Roman" w:hAnsi="Times New Roman" w:cs="Times New Roman"/>
          <w:sz w:val="28"/>
          <w:szCs w:val="28"/>
          <w:lang w:val="uk-UA"/>
        </w:rPr>
        <w:t xml:space="preserve"> сумі </w:t>
      </w:r>
      <w:r>
        <w:rPr>
          <w:sz w:val="28"/>
        </w:rPr>
        <mc:AlternateContent>
          <mc:Choice Requires="wps">
            <w:drawing>
              <wp:inline distT="0" distB="0" distL="114300" distR="114300">
                <wp:extent cx="1133475" cy="76200"/>
                <wp:effectExtent l="0" t="0" r="9525" b="0"/>
                <wp:docPr id="3" name="Rectangles 3"/>
                <wp:cNvGraphicFramePr/>
                <a:graphic xmlns:a="http://schemas.openxmlformats.org/drawingml/2006/main">
                  <a:graphicData uri="http://schemas.microsoft.com/office/word/2010/wordprocessingShape">
                    <wps:wsp>
                      <wps:cNvSpPr/>
                      <wps:spPr>
                        <a:xfrm flipV="1">
                          <a:off x="2266950" y="7729855"/>
                          <a:ext cx="113347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flip:y;height:6pt;width:89.25pt;v-text-anchor:middle;" fillcolor="#FFFFFF [3212]" filled="t" stroked="f" coordsize="21600,21600" o:gfxdata="UEsDBAoAAAAAAIdO4kAAAAAAAAAAAAAAAAAEAAAAZHJzL1BLAwQUAAAACACHTuJAvotPVtUAAAAE&#10;AQAADwAAAGRycy9kb3ducmV2LnhtbE2PMW/CMBCF90r8B+uQuqBiE6ktTeMwIIE6dGgBqeslviZR&#10;47MVGwj/HtOlXU7v9E7vfVesRtuLEw2hc6xhMVcgiGtnOm40HPabhyWIEJEN9o5Jw4UCrMrJXYG5&#10;cWf+pNMuNiKFcMhRQxujz6UMdUsWw9x54uR9u8FiTOvQSDPgOYXbXmZKPUmLHaeGFj2tW6p/dker&#10;wXs1U/Iwe//4enHbt3FfbbO60vp+ulCvICKN8e8YbvgJHcrEVLkjmyB6DemR+Dtv3vPyEUSVRKZA&#10;loX8D19eAVBLAwQUAAAACACHTuJAGCtIm2ICAADNBAAADgAAAGRycy9lMm9Eb2MueG1srVTLbtsw&#10;ELwX6D8QvDfy24kROTBiuCgQNEHTx5mmSEkAXyVpy+nXd0gpj6Y95FAfhF3tYmZ3NOvLq5NW5Ch8&#10;aK0p6fhsRIkw3FatqUv67evuwzklITJTMWWNKOmDCPRq/f7dZedWYmIbqyrhCUBMWHWupE2MblUU&#10;gTdCs3BmnTAoSus1i0h9XVSedUDXqpiMRouis75y3nIRAt5u+yIdEP1bAK2ULRdbyw9amNijeqFY&#10;xEqhaV2g6zytlILHWymDiESVFJvG/AQJ4n16FutLtqo9c03LhxHYW0Z4tZNmrQHpE9SWRUYOvv0L&#10;Srfc22BlPONWF/0iWRFsMR690ua+YU7kXSB1cE+ih/8Hyz8f7zxpq5JOKTFM44N/gWjM1EoEMk36&#10;dC6s0Hbv7vyQBYRp2ZP0mkjVuu8wUl4fC5FTSSeTxeJiDo0fSrpcTi7O5/NeaXGKhKNhPJ5OZ8s5&#10;JTx1LOCLVC96yATtfIgfhdUkBSX1mCkTsONNiH3rY0tqD1a11a5VKie+3l8rT44MH32XfwP6H23K&#10;kA6jzmcgJ5zByhIWQqgd5AimpoSpGjfCo8/cxiYGkPfjbVloeo4MO1Aogz2SZL1IKdrb6gEie9u7&#10;Lzi+a7HVDQvxjnnYDfw4yHiLh1QWQ9khoqSx/te/3qd+uABVSjrYFwP/PDAvKFGfDPxxMZ7NABtz&#10;MpsvJ0j8y8r+ZcUc9LWFWGOcvuM5TP1RPYbSW/0Dd7tJrCgxw8HdSzMk17E/K1w+F5tNboPHHYs3&#10;5t7xR4cYuzlEK9v8EZ/VGUSDy7MNhotMZ/Qyz13P/0L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6LT1bVAAAABAEAAA8AAAAAAAAAAQAgAAAAIgAAAGRycy9kb3ducmV2LnhtbFBLAQIUABQAAAAI&#10;AIdO4kAYK0ibYgIAAM0EAAAOAAAAAAAAAAEAIAAAACQBAABkcnMvZTJvRG9jLnhtbFBLBQYAAAAA&#10;BgAGAFkBAAD4BQAAAAA=&#10;">
                <v:fill on="t" focussize="0,0"/>
                <v:stroke on="f" weight="2pt"/>
                <v:imagedata o:title=""/>
                <o:lock v:ext="edit" aspectratio="f"/>
                <w10:wrap type="none"/>
                <w10:anchorlock/>
              </v:rect>
            </w:pict>
          </mc:Fallback>
        </mc:AlternateConten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29</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1</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275411</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10</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16148D9F">
      <w:pPr>
        <w:pStyle w:val="7"/>
        <w:jc w:val="left"/>
        <w:rPr>
          <w:rFonts w:ascii="Times New Roman" w:hAnsi="Times New Roman"/>
          <w:bCs/>
          <w:caps/>
          <w:szCs w:val="28"/>
        </w:rPr>
      </w:pP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9B5523A"/>
    <w:rsid w:val="0B1843B9"/>
    <w:rsid w:val="0B5E2329"/>
    <w:rsid w:val="0D8C12BF"/>
    <w:rsid w:val="104B72DD"/>
    <w:rsid w:val="187D3F21"/>
    <w:rsid w:val="1A6A218D"/>
    <w:rsid w:val="1BB34C01"/>
    <w:rsid w:val="1E0A753A"/>
    <w:rsid w:val="1E5D1671"/>
    <w:rsid w:val="1EBB540B"/>
    <w:rsid w:val="1F7C0061"/>
    <w:rsid w:val="201E3F5A"/>
    <w:rsid w:val="20EF513E"/>
    <w:rsid w:val="218B1E6F"/>
    <w:rsid w:val="235A1336"/>
    <w:rsid w:val="242755E0"/>
    <w:rsid w:val="26940722"/>
    <w:rsid w:val="27B74537"/>
    <w:rsid w:val="29B97180"/>
    <w:rsid w:val="332F0BE2"/>
    <w:rsid w:val="36414B11"/>
    <w:rsid w:val="364912B8"/>
    <w:rsid w:val="3733791C"/>
    <w:rsid w:val="3BF21BD8"/>
    <w:rsid w:val="43442755"/>
    <w:rsid w:val="47495056"/>
    <w:rsid w:val="485264D2"/>
    <w:rsid w:val="48775B70"/>
    <w:rsid w:val="4A4473FF"/>
    <w:rsid w:val="4C981B11"/>
    <w:rsid w:val="4EFE25A7"/>
    <w:rsid w:val="4F574A77"/>
    <w:rsid w:val="4F960CB3"/>
    <w:rsid w:val="4FAE44D0"/>
    <w:rsid w:val="53DB5E11"/>
    <w:rsid w:val="5421365B"/>
    <w:rsid w:val="54886D3A"/>
    <w:rsid w:val="58C07D08"/>
    <w:rsid w:val="5915634E"/>
    <w:rsid w:val="5A1D2B64"/>
    <w:rsid w:val="5A5D71D1"/>
    <w:rsid w:val="5AD308E5"/>
    <w:rsid w:val="5BC11016"/>
    <w:rsid w:val="5D057E4B"/>
    <w:rsid w:val="5F8E5854"/>
    <w:rsid w:val="617D3BE3"/>
    <w:rsid w:val="620B2158"/>
    <w:rsid w:val="64BA1165"/>
    <w:rsid w:val="65F3012E"/>
    <w:rsid w:val="661E592C"/>
    <w:rsid w:val="67FC1489"/>
    <w:rsid w:val="69E32EC5"/>
    <w:rsid w:val="6E3200A4"/>
    <w:rsid w:val="6ED9046A"/>
    <w:rsid w:val="6F672AE6"/>
    <w:rsid w:val="6FDC379B"/>
    <w:rsid w:val="71C34FC9"/>
    <w:rsid w:val="722A26B8"/>
    <w:rsid w:val="79BF2E4B"/>
    <w:rsid w:val="7DCA16EC"/>
    <w:rsid w:val="7E3214CE"/>
    <w:rsid w:val="7EE03EAF"/>
    <w:rsid w:val="7F405671"/>
    <w:rsid w:val="7F693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2026-01-22T07:26:44Z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BE16603534DD499E9C1F2A13DDDCEAC0_13</vt:lpwstr>
  </property>
</Properties>
</file>