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3D84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57D1CDED">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2A075FF1">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44E3314D">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1/7</w:t>
            </w:r>
          </w:p>
        </w:tc>
      </w:tr>
    </w:tbl>
    <w:p w14:paraId="4EB71552">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7</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7</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12</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59</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7</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відмову</w:t>
      </w:r>
      <w:r>
        <w:rPr>
          <w:rFonts w:ascii="Times New Roman" w:hAnsi="Times New Roman" w:cs="Times New Roman"/>
          <w:sz w:val="28"/>
          <w:szCs w:val="28"/>
          <w:lang w:val="uk-UA"/>
        </w:rPr>
        <w:t xml:space="preserve"> 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наданні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30</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1</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2766228</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7</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16148D9F">
      <w:pPr>
        <w:pStyle w:val="7"/>
        <w:jc w:val="left"/>
        <w:rPr>
          <w:rFonts w:ascii="Times New Roman" w:hAnsi="Times New Roman"/>
          <w:bCs/>
          <w:caps/>
          <w:szCs w:val="28"/>
        </w:rPr>
      </w:pP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D8C12BF"/>
    <w:rsid w:val="187D3F21"/>
    <w:rsid w:val="1A6A218D"/>
    <w:rsid w:val="1E0A753A"/>
    <w:rsid w:val="1E5D1671"/>
    <w:rsid w:val="1EBB540B"/>
    <w:rsid w:val="1F7C0061"/>
    <w:rsid w:val="201E3F5A"/>
    <w:rsid w:val="218B1E6F"/>
    <w:rsid w:val="235A1336"/>
    <w:rsid w:val="2A0113E2"/>
    <w:rsid w:val="2B7E423D"/>
    <w:rsid w:val="2B883C8C"/>
    <w:rsid w:val="30CF21A1"/>
    <w:rsid w:val="332F0BE2"/>
    <w:rsid w:val="364912B8"/>
    <w:rsid w:val="3733791C"/>
    <w:rsid w:val="3BF21BD8"/>
    <w:rsid w:val="47495056"/>
    <w:rsid w:val="4A4473FF"/>
    <w:rsid w:val="4EFE25A7"/>
    <w:rsid w:val="4F960CB3"/>
    <w:rsid w:val="53DB5E11"/>
    <w:rsid w:val="5421365B"/>
    <w:rsid w:val="54886D3A"/>
    <w:rsid w:val="5A5D71D1"/>
    <w:rsid w:val="5AD308E5"/>
    <w:rsid w:val="617D3BE3"/>
    <w:rsid w:val="64BA1165"/>
    <w:rsid w:val="65F3012E"/>
    <w:rsid w:val="661E592C"/>
    <w:rsid w:val="67FC1489"/>
    <w:rsid w:val="6ED9046A"/>
    <w:rsid w:val="6F672AE6"/>
    <w:rsid w:val="6FDC379B"/>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78993B19E116426FBD6A2F37FD981398_13</vt:lpwstr>
  </property>
</Properties>
</file>