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0A" w:rsidRDefault="001007D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240" w:lineRule="auto"/>
        <w:ind w:left="0" w:hanging="2"/>
      </w:pPr>
      <w:r>
        <w:t xml:space="preserve">                   </w:t>
      </w:r>
    </w:p>
    <w:p w:rsidR="00E4230A" w:rsidRDefault="00E4230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240" w:lineRule="auto"/>
        <w:ind w:left="0" w:hanging="2"/>
      </w:pPr>
    </w:p>
    <w:p w:rsidR="00E4230A" w:rsidRDefault="00E4230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240" w:lineRule="auto"/>
        <w:ind w:left="0" w:hanging="2"/>
      </w:pPr>
    </w:p>
    <w:p w:rsidR="00E4230A" w:rsidRDefault="001007D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</w:t>
      </w:r>
      <w:r w:rsidR="00C05D9D">
        <w:rPr>
          <w:color w:val="000000"/>
        </w:rPr>
        <w:t>Додаток до Розпорядження міського голови</w:t>
      </w:r>
    </w:p>
    <w:p w:rsidR="00E4230A" w:rsidRDefault="00C05D9D">
      <w:pPr>
        <w:pBdr>
          <w:top w:val="nil"/>
          <w:left w:val="nil"/>
          <w:bottom w:val="nil"/>
          <w:right w:val="nil"/>
          <w:between w:val="nil"/>
        </w:pBdr>
        <w:tabs>
          <w:tab w:val="left" w:pos="5929"/>
        </w:tabs>
        <w:spacing w:line="240" w:lineRule="auto"/>
        <w:ind w:left="0" w:hanging="2"/>
        <w:rPr>
          <w:color w:val="000000"/>
          <w:sz w:val="28"/>
          <w:szCs w:val="28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від</w:t>
      </w:r>
      <w:r>
        <w:t xml:space="preserve"> 07.04.2026</w:t>
      </w:r>
      <w:r>
        <w:rPr>
          <w:color w:val="000000"/>
        </w:rPr>
        <w:t xml:space="preserve"> р.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</w:rPr>
        <w:t>№ 01-21</w:t>
      </w:r>
      <w:r>
        <w:t>/92-УСЗН</w:t>
      </w:r>
    </w:p>
    <w:p w:rsidR="00E4230A" w:rsidRDefault="00E4230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1" w:hanging="3"/>
        <w:jc w:val="center"/>
        <w:rPr>
          <w:b/>
          <w:bCs/>
          <w:sz w:val="28"/>
          <w:szCs w:val="28"/>
        </w:rPr>
      </w:pPr>
    </w:p>
    <w:p w:rsidR="00E4230A" w:rsidRDefault="00C05D9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1" w:hanging="3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ПЛАН </w:t>
      </w:r>
      <w:r>
        <w:rPr>
          <w:b/>
          <w:bCs/>
          <w:color w:val="000000"/>
          <w:sz w:val="28"/>
          <w:szCs w:val="28"/>
        </w:rPr>
        <w:br/>
        <w:t>заходів з виконання у 2026–2030 роках Національного плану дій з виконання резолюції</w:t>
      </w:r>
      <w:r>
        <w:rPr>
          <w:b/>
          <w:bCs/>
          <w:color w:val="000000"/>
          <w:sz w:val="28"/>
          <w:szCs w:val="28"/>
        </w:rPr>
        <w:br/>
        <w:t>Ради Безпеки ООН 1325 „Жінки, мир, безпека”</w:t>
      </w:r>
      <w:r w:rsidR="001007DA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 Боярській міській територіальній громаді</w:t>
      </w:r>
    </w:p>
    <w:p w:rsidR="00E4230A" w:rsidRDefault="00E4230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1" w:hanging="3"/>
        <w:jc w:val="center"/>
        <w:rPr>
          <w:b/>
          <w:bCs/>
          <w:sz w:val="28"/>
          <w:szCs w:val="28"/>
        </w:rPr>
      </w:pPr>
    </w:p>
    <w:tbl>
      <w:tblPr>
        <w:tblStyle w:val="aff3"/>
        <w:tblW w:w="14835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4185"/>
        <w:gridCol w:w="3750"/>
        <w:gridCol w:w="3540"/>
        <w:gridCol w:w="1380"/>
      </w:tblGrid>
      <w:tr w:rsidR="00E4230A">
        <w:trPr>
          <w:cantSplit/>
          <w:trHeight w:val="276"/>
        </w:trPr>
        <w:tc>
          <w:tcPr>
            <w:tcW w:w="1980" w:type="dxa"/>
            <w:vMerge w:val="restart"/>
            <w:vAlign w:val="center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Найменування </w:t>
            </w:r>
            <w:r>
              <w:rPr>
                <w:color w:val="000000"/>
              </w:rPr>
              <w:br/>
              <w:t>завдання</w:t>
            </w:r>
          </w:p>
        </w:tc>
        <w:tc>
          <w:tcPr>
            <w:tcW w:w="4185" w:type="dxa"/>
            <w:vMerge w:val="restart"/>
            <w:vAlign w:val="center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Найменування </w:t>
            </w:r>
            <w:r>
              <w:rPr>
                <w:color w:val="000000"/>
              </w:rPr>
              <w:br/>
              <w:t>заходу</w:t>
            </w:r>
          </w:p>
        </w:tc>
        <w:tc>
          <w:tcPr>
            <w:tcW w:w="3750" w:type="dxa"/>
            <w:vMerge w:val="restart"/>
            <w:vAlign w:val="center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81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Відповідальні за виконання</w:t>
            </w:r>
          </w:p>
        </w:tc>
        <w:tc>
          <w:tcPr>
            <w:tcW w:w="3540" w:type="dxa"/>
            <w:vMerge w:val="restart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8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Показник виконання</w:t>
            </w:r>
          </w:p>
        </w:tc>
        <w:tc>
          <w:tcPr>
            <w:tcW w:w="1380" w:type="dxa"/>
            <w:vMerge w:val="restart"/>
            <w:vAlign w:val="center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8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Строк</w:t>
            </w:r>
            <w:r>
              <w:rPr>
                <w:color w:val="000000"/>
              </w:rPr>
              <w:br/>
              <w:t>виконання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8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рік</w:t>
            </w:r>
          </w:p>
        </w:tc>
      </w:tr>
      <w:tr w:rsidR="00E4230A">
        <w:trPr>
          <w:cantSplit/>
          <w:trHeight w:val="317"/>
        </w:trPr>
        <w:tc>
          <w:tcPr>
            <w:tcW w:w="1980" w:type="dxa"/>
            <w:vMerge/>
            <w:vAlign w:val="center"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  <w:vMerge/>
            <w:vAlign w:val="center"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3750" w:type="dxa"/>
            <w:vMerge/>
            <w:vAlign w:val="center"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354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380" w:type="dxa"/>
            <w:vMerge/>
            <w:vAlign w:val="center"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  <w:tr w:rsidR="00E4230A">
        <w:tc>
          <w:tcPr>
            <w:tcW w:w="14835" w:type="dxa"/>
            <w:gridSpan w:val="5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Стратегічна ціль 1. </w:t>
            </w:r>
            <w:r>
              <w:rPr>
                <w:color w:val="000000"/>
              </w:rPr>
              <w:t xml:space="preserve">Створено умови для рівноправної участі жінок і чоловіків у процесах прийняття рішень щодо запобігання конфліктам, реагування на </w:t>
            </w:r>
            <w:proofErr w:type="spellStart"/>
            <w:r>
              <w:rPr>
                <w:color w:val="000000"/>
              </w:rPr>
              <w:t>безпекові</w:t>
            </w:r>
            <w:proofErr w:type="spellEnd"/>
            <w:r>
              <w:rPr>
                <w:color w:val="000000"/>
              </w:rPr>
              <w:t xml:space="preserve"> виклики, повоєнного відновлення на всіх рівнях та в усіх сферах життєдіяльності суспільства</w:t>
            </w:r>
          </w:p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color w:val="000000"/>
              </w:rPr>
            </w:pPr>
          </w:p>
        </w:tc>
      </w:tr>
      <w:tr w:rsidR="00E4230A">
        <w:tc>
          <w:tcPr>
            <w:tcW w:w="14835" w:type="dxa"/>
            <w:gridSpan w:val="5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Оперативна ціль 1.1. Забезпечено міжвідомчу координацію та обмін інформацією між суб’єктами, які працюють у сфері реалізації порядку денного „Жінки, мир, </w:t>
            </w:r>
            <w:proofErr w:type="spellStart"/>
            <w:r>
              <w:rPr>
                <w:color w:val="000000"/>
              </w:rPr>
              <w:t>безпекаˮ</w:t>
            </w:r>
            <w:proofErr w:type="spellEnd"/>
            <w:r>
              <w:rPr>
                <w:color w:val="000000"/>
              </w:rPr>
              <w:t>, на міжнародному, національному та місцевому рівнях</w:t>
            </w:r>
          </w:p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color w:val="000000"/>
              </w:rPr>
            </w:pPr>
          </w:p>
        </w:tc>
      </w:tr>
      <w:tr w:rsidR="00E4230A">
        <w:trPr>
          <w:cantSplit/>
        </w:trPr>
        <w:tc>
          <w:tcPr>
            <w:tcW w:w="1980" w:type="dxa"/>
            <w:vMerge w:val="restart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1. Посилення координації щодо реалізації Національного плану на національному та місцевому рівн</w:t>
            </w:r>
            <w:r>
              <w:t>і</w:t>
            </w: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1)поширення рекомендацій щодо реалізації порядку денного „Жінки, мир, </w:t>
            </w:r>
            <w:proofErr w:type="spellStart"/>
            <w:r>
              <w:rPr>
                <w:color w:val="000000"/>
              </w:rPr>
              <w:t>безпекаˮ</w:t>
            </w:r>
            <w:proofErr w:type="spellEnd"/>
            <w:r>
              <w:rPr>
                <w:color w:val="000000"/>
              </w:rPr>
              <w:t xml:space="preserve"> з адаптацією до потреб територіальної громади, громадських об’єднань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 xml:space="preserve">Управління </w:t>
            </w:r>
            <w:r>
              <w:rPr>
                <w:color w:val="000000"/>
              </w:rPr>
              <w:t>міжнародного співробітництва, економічного аналізу та стратегічних комунікацій виконавчого комітету Боярської міської ради</w:t>
            </w:r>
            <w:r>
              <w:t>;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громадські об’єднання та міжнародні організації (за згодою)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 xml:space="preserve">поширено серед усіх виконавців Національного плану дій з виконання резолюції Ради Безпеки ООН 1325 „Жінки, мир, </w:t>
            </w:r>
            <w:proofErr w:type="spellStart"/>
            <w:r>
              <w:rPr>
                <w:color w:val="000000"/>
              </w:rPr>
              <w:t>безпекаˮ</w:t>
            </w:r>
            <w:proofErr w:type="spellEnd"/>
            <w:r>
              <w:rPr>
                <w:color w:val="000000"/>
              </w:rPr>
              <w:t xml:space="preserve"> на період до 2030 року (далі – Національний план)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2026–2027 </w:t>
            </w: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248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2)забезпечення роботи координаційних органів з питань порядку денного</w:t>
            </w:r>
            <w:r>
              <w:rPr>
                <w:color w:val="000000"/>
                <w:sz w:val="17"/>
                <w:szCs w:val="17"/>
              </w:rPr>
              <w:t xml:space="preserve"> </w:t>
            </w:r>
            <w:r>
              <w:rPr>
                <w:color w:val="000000"/>
              </w:rPr>
              <w:t xml:space="preserve">„Жінки, мир, </w:t>
            </w:r>
            <w:proofErr w:type="spellStart"/>
            <w:r>
              <w:rPr>
                <w:color w:val="000000"/>
              </w:rPr>
              <w:t>безпекаˮ</w:t>
            </w:r>
            <w:proofErr w:type="spellEnd"/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Управління соціального захисту населення Боярської міської ради</w:t>
            </w:r>
            <w:r>
              <w:t>;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громадські об’єднання (за згодою)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 xml:space="preserve">забезпечено роботу координаційних органів, зокрема, коаліцій 1325 „Жінки, мир, </w:t>
            </w:r>
            <w:proofErr w:type="spellStart"/>
            <w:r>
              <w:rPr>
                <w:color w:val="000000"/>
              </w:rPr>
              <w:t>безпекаˮ</w:t>
            </w:r>
            <w:proofErr w:type="spellEnd"/>
            <w:r>
              <w:rPr>
                <w:color w:val="000000"/>
              </w:rPr>
              <w:t>, які об’єднують представників органів державної влади, громадських об’єднань та міжнародних організацій та спільно реалізують заходи Національного плану (далі – Коаліці</w:t>
            </w:r>
            <w:r>
              <w:rPr>
                <w:color w:val="000000"/>
              </w:rPr>
              <w:t>ї 1325)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</w:rPr>
              <w:t>та правозахисних громадських об’єднань</w:t>
            </w:r>
          </w:p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  <w:sz w:val="16"/>
                <w:szCs w:val="16"/>
              </w:rPr>
            </w:pP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підготовлено та поширено аналітичні звіти про результати діяльності Коаліцій 1325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3) організація проведення навчань для посадових осіб органів місцевого самоврядування, громадських об’єднань щодо реалізації Національного плану на місцевому рівні, зокрема, щодо інструментів його реалізації, моніторингу, міжвідомчої взаємодії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Коаліція 132</w:t>
            </w:r>
            <w:r>
              <w:rPr>
                <w:color w:val="000000"/>
              </w:rPr>
              <w:t>5 - Київщина,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громадські об’єднання та міжнародні організації (за згодою)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в територіальн</w:t>
            </w:r>
            <w:r>
              <w:t>ій</w:t>
            </w:r>
            <w:r>
              <w:rPr>
                <w:color w:val="000000"/>
              </w:rPr>
              <w:t xml:space="preserve"> грома</w:t>
            </w:r>
            <w:r>
              <w:t>ді</w:t>
            </w:r>
            <w:r>
              <w:rPr>
                <w:color w:val="000000"/>
              </w:rPr>
              <w:t xml:space="preserve"> проведено навчання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c>
          <w:tcPr>
            <w:tcW w:w="14835" w:type="dxa"/>
            <w:gridSpan w:val="5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Оперативна ціль 1.2. Посилено спроможність сектору безпеки і оборони у забезпеченні рівних прав та можливостей жінок і чоловіків та реалізації порядку денного „Жінки, мир, </w:t>
            </w:r>
            <w:proofErr w:type="spellStart"/>
            <w:r>
              <w:rPr>
                <w:color w:val="000000"/>
              </w:rPr>
              <w:t>безпекаˮ</w:t>
            </w:r>
            <w:proofErr w:type="spellEnd"/>
          </w:p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E4230A">
        <w:tc>
          <w:tcPr>
            <w:tcW w:w="14835" w:type="dxa"/>
            <w:gridSpan w:val="5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Стратегічна ціль 2. Створено </w:t>
            </w:r>
            <w:proofErr w:type="spellStart"/>
            <w:r>
              <w:rPr>
                <w:color w:val="000000"/>
              </w:rPr>
              <w:t>ґендерно</w:t>
            </w:r>
            <w:proofErr w:type="spellEnd"/>
            <w:r>
              <w:rPr>
                <w:color w:val="000000"/>
              </w:rPr>
              <w:t xml:space="preserve"> чутливу систему ідентифікації </w:t>
            </w:r>
            <w:proofErr w:type="spellStart"/>
            <w:r>
              <w:rPr>
                <w:color w:val="000000"/>
              </w:rPr>
              <w:t>безпе</w:t>
            </w:r>
            <w:r>
              <w:rPr>
                <w:color w:val="000000"/>
              </w:rPr>
              <w:t>кових</w:t>
            </w:r>
            <w:proofErr w:type="spellEnd"/>
            <w:r>
              <w:rPr>
                <w:color w:val="000000"/>
              </w:rPr>
              <w:t xml:space="preserve"> викликів, реагування на них та запобігання таким викликам </w:t>
            </w:r>
          </w:p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E4230A">
        <w:tc>
          <w:tcPr>
            <w:tcW w:w="14835" w:type="dxa"/>
            <w:gridSpan w:val="5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Оперативна ціль 2.1. Забезпечено дієвий механізм взаємодії органів державної влади, громадських об’єднань, підприємств, установ та організацій з ідентифікації </w:t>
            </w:r>
            <w:proofErr w:type="spellStart"/>
            <w:r>
              <w:rPr>
                <w:color w:val="000000"/>
              </w:rPr>
              <w:t>безпекових</w:t>
            </w:r>
            <w:proofErr w:type="spellEnd"/>
            <w:r>
              <w:rPr>
                <w:color w:val="000000"/>
              </w:rPr>
              <w:t xml:space="preserve"> викликів, запобігання таким викликам, реагування на них (війни, пандемії, </w:t>
            </w:r>
            <w:proofErr w:type="spellStart"/>
            <w:r>
              <w:rPr>
                <w:color w:val="000000"/>
              </w:rPr>
              <w:t>кіберзагрози</w:t>
            </w:r>
            <w:proofErr w:type="spellEnd"/>
            <w:r>
              <w:rPr>
                <w:color w:val="000000"/>
              </w:rPr>
              <w:t>, техногенні катастрофи) з урахуванням потреб різних груп дівчат і хлопців, жінок і чоловіків</w:t>
            </w:r>
          </w:p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E4230A">
        <w:trPr>
          <w:trHeight w:val="3864"/>
        </w:trPr>
        <w:tc>
          <w:tcPr>
            <w:tcW w:w="19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lastRenderedPageBreak/>
              <w:t>2. Забезпечення ідентифікації загроз безпеці, запобігання таким загрозам, реагування на потенційні виклики відповідно до принципу забезпечення рівних прав і мож</w:t>
            </w:r>
            <w:r>
              <w:rPr>
                <w:color w:val="000000"/>
              </w:rPr>
              <w:t>ливостей жінок і чоловіків</w:t>
            </w: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1) поширення в медіа, на </w:t>
            </w:r>
            <w:r>
              <w:t>веб сайтах</w:t>
            </w:r>
            <w:r>
              <w:rPr>
                <w:color w:val="000000"/>
              </w:rPr>
              <w:t xml:space="preserve"> органів місцевого самоврядування в публічних та громадських місцях матеріалів за темами: „Радіаційна безпека та засоби радіаційного </w:t>
            </w:r>
            <w:proofErr w:type="spellStart"/>
            <w:r>
              <w:rPr>
                <w:color w:val="000000"/>
              </w:rPr>
              <w:t>захистуˮ</w:t>
            </w:r>
            <w:proofErr w:type="spellEnd"/>
            <w:r>
              <w:rPr>
                <w:color w:val="000000"/>
              </w:rPr>
              <w:t xml:space="preserve">, „Основні джерела питного водопостачання та як орієнтуватися на нормативних показниках питної </w:t>
            </w:r>
            <w:proofErr w:type="spellStart"/>
            <w:r>
              <w:rPr>
                <w:color w:val="000000"/>
              </w:rPr>
              <w:t>водиˮ</w:t>
            </w:r>
            <w:proofErr w:type="spellEnd"/>
            <w:r>
              <w:rPr>
                <w:color w:val="000000"/>
              </w:rPr>
              <w:t xml:space="preserve">, „Адаптаційні </w:t>
            </w:r>
            <w:r>
              <w:rPr>
                <w:color w:val="000000"/>
              </w:rPr>
              <w:t xml:space="preserve">заходи для родин та громад в умовах кліматичних </w:t>
            </w:r>
            <w:proofErr w:type="spellStart"/>
            <w:r>
              <w:rPr>
                <w:color w:val="000000"/>
              </w:rPr>
              <w:t>змінˮ</w:t>
            </w:r>
            <w:proofErr w:type="spellEnd"/>
            <w:r>
              <w:rPr>
                <w:color w:val="000000"/>
              </w:rPr>
              <w:t xml:space="preserve"> тощо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Управління міжнародного співробітництва, економічного аналізу та стратегічних комунікацій виконавчого комітету Боярської міської ради</w:t>
            </w:r>
            <w:r>
              <w:t>;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громадські об’єднання та міжнародні організації (за згодою)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 xml:space="preserve"> поширено в медіа, на інтернет ресурсах, в публічних та громадських місцях матеріали з екологічної тематики та вплив екологічних факторів на репродуктивне здоров’я жінок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cantSplit/>
        </w:trPr>
        <w:tc>
          <w:tcPr>
            <w:tcW w:w="1980" w:type="dxa"/>
            <w:vMerge w:val="restart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t xml:space="preserve">3. Запобігання </w:t>
            </w:r>
            <w:r>
              <w:t>всім</w:t>
            </w:r>
            <w:r>
              <w:rPr>
                <w:color w:val="000000"/>
              </w:rPr>
              <w:t xml:space="preserve"> формам насильства з використанням зброї</w:t>
            </w:r>
          </w:p>
        </w:tc>
        <w:tc>
          <w:tcPr>
            <w:tcW w:w="4185" w:type="dxa"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3750" w:type="dxa"/>
          </w:tcPr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540" w:type="dxa"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1380" w:type="dxa"/>
          </w:tcPr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5" w:hanging="2"/>
              <w:jc w:val="center"/>
              <w:rPr>
                <w:color w:val="000000"/>
              </w:rPr>
            </w:pP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1)організація проведення інформаційних кампаній щодо алгоритму дій, реагування на випадки незаконного обігу та використання зброї, порядку легалізації зброї, здачі зброї та правових наслідків, у тому числі із залученням закладів освіти, молодіжних рад та м</w:t>
            </w:r>
            <w:r>
              <w:rPr>
                <w:color w:val="000000"/>
              </w:rPr>
              <w:t xml:space="preserve">олодіжних центрів </w:t>
            </w:r>
          </w:p>
        </w:tc>
        <w:tc>
          <w:tcPr>
            <w:tcW w:w="3750" w:type="dxa"/>
          </w:tcPr>
          <w:p w:rsidR="00E4230A" w:rsidRDefault="00C05D9D">
            <w:pPr>
              <w:tabs>
                <w:tab w:val="left" w:pos="900"/>
              </w:tabs>
              <w:ind w:left="0" w:right="-71" w:hanging="2"/>
            </w:pPr>
            <w:r>
              <w:t>Управління міжнародного співробітництва, економічного аналізу та стратегічних комунікацій виконавчого комітету Боярської міської ради;</w:t>
            </w:r>
          </w:p>
          <w:p w:rsidR="00E4230A" w:rsidRDefault="00C05D9D">
            <w:pPr>
              <w:tabs>
                <w:tab w:val="left" w:pos="900"/>
              </w:tabs>
              <w:ind w:left="0" w:right="-71" w:hanging="2"/>
            </w:pPr>
            <w:r>
              <w:t xml:space="preserve">управління освіти Боярської міської ради; </w:t>
            </w:r>
          </w:p>
          <w:p w:rsidR="00E4230A" w:rsidRDefault="00C05D9D">
            <w:pPr>
              <w:tabs>
                <w:tab w:val="left" w:pos="900"/>
              </w:tabs>
              <w:ind w:left="0" w:right="-71" w:hanging="2"/>
              <w:rPr>
                <w:color w:val="000000"/>
              </w:rPr>
            </w:pPr>
            <w:r>
              <w:t>управління культури, молоді та спорту Боярської міської рад</w:t>
            </w:r>
            <w:r>
              <w:t>и</w:t>
            </w:r>
          </w:p>
        </w:tc>
        <w:tc>
          <w:tcPr>
            <w:tcW w:w="3540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t>підготовлено інформаційні матеріали, орієнтовані на різні групи населення, зокрема, молодь</w:t>
            </w:r>
          </w:p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</w:p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t xml:space="preserve">інформаційними кампаніями охоплено щонайменше </w:t>
            </w:r>
            <w:r>
              <w:t>1</w:t>
            </w:r>
            <w:r>
              <w:rPr>
                <w:color w:val="000000"/>
              </w:rPr>
              <w:t>0 тис. осіб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5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cantSplit/>
          <w:trHeight w:val="1114"/>
        </w:trPr>
        <w:tc>
          <w:tcPr>
            <w:tcW w:w="1980" w:type="dxa"/>
            <w:vMerge w:val="restart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4. Забезпечення безпеки населення у територіальн</w:t>
            </w:r>
            <w:r>
              <w:t>ій</w:t>
            </w:r>
            <w:r>
              <w:rPr>
                <w:color w:val="000000"/>
              </w:rPr>
              <w:t xml:space="preserve"> громад</w:t>
            </w:r>
            <w:r>
              <w:t>і</w:t>
            </w:r>
            <w:r>
              <w:rPr>
                <w:color w:val="000000"/>
              </w:rPr>
              <w:t xml:space="preserve"> з </w:t>
            </w:r>
            <w:r>
              <w:t>урахуванням</w:t>
            </w:r>
            <w:r>
              <w:rPr>
                <w:color w:val="000000"/>
              </w:rPr>
              <w:t xml:space="preserve"> потреб різних категорій жінок і чоловіків</w:t>
            </w: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3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1) забезпечення включення до методології проведення аналізу доступності територіальної громади за всіма напрямами </w:t>
            </w:r>
            <w:proofErr w:type="spellStart"/>
            <w:r>
              <w:rPr>
                <w:color w:val="000000"/>
              </w:rPr>
              <w:t>безбарʼєрності</w:t>
            </w:r>
            <w:proofErr w:type="spellEnd"/>
            <w:r>
              <w:rPr>
                <w:color w:val="000000"/>
              </w:rPr>
              <w:t xml:space="preserve"> методики проведення гендерних аудитів безпеки територій, </w:t>
            </w:r>
            <w:proofErr w:type="spellStart"/>
            <w:r>
              <w:rPr>
                <w:color w:val="000000"/>
              </w:rPr>
              <w:t>укриттів</w:t>
            </w:r>
            <w:proofErr w:type="spellEnd"/>
            <w:r>
              <w:rPr>
                <w:color w:val="000000"/>
              </w:rPr>
              <w:t xml:space="preserve">, транспорту з </w:t>
            </w:r>
            <w:r>
              <w:t>урах</w:t>
            </w:r>
            <w:r>
              <w:t>уванням</w:t>
            </w:r>
            <w:r>
              <w:rPr>
                <w:color w:val="000000"/>
              </w:rPr>
              <w:t xml:space="preserve"> потреб різних категорій жінок і чоловіків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4" w:hanging="2"/>
            </w:pPr>
            <w:r>
              <w:rPr>
                <w:color w:val="000000"/>
              </w:rPr>
              <w:t>Управління розвитку  інфраструктури та житлово-комунального господарства</w:t>
            </w:r>
            <w:r>
              <w:rPr>
                <w:color w:val="4A86E8"/>
              </w:rPr>
              <w:t xml:space="preserve"> </w:t>
            </w:r>
            <w:r>
              <w:rPr>
                <w:color w:val="000000"/>
              </w:rPr>
              <w:t>виконавчого комітету Боярської міської ради</w:t>
            </w:r>
            <w:r>
              <w:t>;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4" w:hanging="2"/>
              <w:rPr>
                <w:color w:val="000000"/>
              </w:rPr>
            </w:pPr>
            <w:r>
              <w:rPr>
                <w:color w:val="000000"/>
              </w:rPr>
              <w:t>відділ містобудування та архітектури виконавчого комітету Боярської міської ради</w:t>
            </w:r>
            <w:r>
              <w:t>;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4" w:hanging="2"/>
              <w:rPr>
                <w:color w:val="000000"/>
              </w:rPr>
            </w:pPr>
            <w:r>
              <w:rPr>
                <w:color w:val="000000"/>
              </w:rPr>
              <w:t>громадські об’єднання (за згодою)</w:t>
            </w:r>
          </w:p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4" w:hanging="2"/>
              <w:rPr>
                <w:color w:val="000000"/>
              </w:rPr>
            </w:pP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2" w:hanging="2"/>
              <w:rPr>
                <w:color w:val="000000"/>
              </w:rPr>
            </w:pPr>
            <w:r>
              <w:rPr>
                <w:color w:val="000000"/>
              </w:rPr>
              <w:t xml:space="preserve">Методологія проведення аналізу доступності територіальної громади за всіма напрямами </w:t>
            </w:r>
            <w:proofErr w:type="spellStart"/>
            <w:r>
              <w:rPr>
                <w:color w:val="000000"/>
              </w:rPr>
              <w:t>безбарʼєрності</w:t>
            </w:r>
            <w:proofErr w:type="spellEnd"/>
            <w:r>
              <w:rPr>
                <w:color w:val="000000"/>
              </w:rPr>
              <w:t xml:space="preserve"> враховує результати  гендерних аудитів безпеки територій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4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2026–2027</w:t>
            </w: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2) проведення в територіальн</w:t>
            </w:r>
            <w:r>
              <w:t>ій</w:t>
            </w:r>
            <w:r>
              <w:rPr>
                <w:color w:val="000000"/>
              </w:rPr>
              <w:t xml:space="preserve"> громад</w:t>
            </w:r>
            <w:r>
              <w:t>і</w:t>
            </w:r>
            <w:r>
              <w:rPr>
                <w:color w:val="000000"/>
              </w:rPr>
              <w:t xml:space="preserve"> аудиту безпеки територій, </w:t>
            </w:r>
            <w:proofErr w:type="spellStart"/>
            <w:r>
              <w:rPr>
                <w:color w:val="000000"/>
              </w:rPr>
              <w:t>укриттів</w:t>
            </w:r>
            <w:proofErr w:type="spellEnd"/>
            <w:r>
              <w:rPr>
                <w:color w:val="000000"/>
              </w:rPr>
              <w:t>, транспорту із урахуванням потреб різних категорій жінок і чоловіків</w:t>
            </w:r>
          </w:p>
        </w:tc>
        <w:tc>
          <w:tcPr>
            <w:tcW w:w="3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230A" w:rsidRDefault="00C05D9D">
            <w:pPr>
              <w:spacing w:line="276" w:lineRule="auto"/>
              <w:ind w:left="0" w:right="-80" w:hanging="2"/>
            </w:pPr>
            <w:r>
              <w:t>Управління розвитку  інфраструктури та житлово-комунального господарства</w:t>
            </w:r>
            <w:r>
              <w:rPr>
                <w:color w:val="4A86E8"/>
              </w:rPr>
              <w:t xml:space="preserve"> </w:t>
            </w:r>
            <w:r>
              <w:t>виконавчого комітету Боярської міської ради;</w:t>
            </w:r>
          </w:p>
          <w:p w:rsidR="00E4230A" w:rsidRDefault="00C05D9D">
            <w:pPr>
              <w:spacing w:line="276" w:lineRule="auto"/>
              <w:ind w:left="0" w:right="-80" w:hanging="2"/>
            </w:pPr>
            <w:r>
              <w:t>сектор цивільного захисту та надз</w:t>
            </w:r>
            <w:r>
              <w:t>вичайних ситуацій Боярської міської ради;</w:t>
            </w:r>
          </w:p>
          <w:p w:rsidR="00E4230A" w:rsidRDefault="00C05D9D">
            <w:pPr>
              <w:spacing w:line="276" w:lineRule="auto"/>
              <w:ind w:left="0" w:right="-80" w:hanging="2"/>
            </w:pPr>
            <w:r>
              <w:t>Управління капітального будівництва Боярської міської ради;</w:t>
            </w:r>
          </w:p>
          <w:p w:rsidR="00E4230A" w:rsidRDefault="00C05D9D">
            <w:pPr>
              <w:spacing w:line="276" w:lineRule="auto"/>
              <w:ind w:left="0" w:right="-80" w:hanging="2"/>
            </w:pPr>
            <w:r>
              <w:t>відділ містобудування та архітектури виконавчого комітету Боярської міської ради;</w:t>
            </w:r>
          </w:p>
          <w:p w:rsidR="00E4230A" w:rsidRDefault="00C05D9D">
            <w:pPr>
              <w:ind w:left="0" w:hanging="2"/>
            </w:pPr>
            <w:r>
              <w:t>громадські об’єднання та міжнародні організації (за згодою)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rPr>
                <w:color w:val="000000"/>
              </w:rPr>
            </w:pPr>
            <w:r>
              <w:rPr>
                <w:color w:val="000000"/>
              </w:rPr>
              <w:t>гендерний ау</w:t>
            </w:r>
            <w:r>
              <w:rPr>
                <w:color w:val="000000"/>
              </w:rPr>
              <w:t xml:space="preserve">дит безпеки територій, </w:t>
            </w:r>
            <w:proofErr w:type="spellStart"/>
            <w:r>
              <w:rPr>
                <w:color w:val="000000"/>
              </w:rPr>
              <w:t>укриттів</w:t>
            </w:r>
            <w:proofErr w:type="spellEnd"/>
            <w:r>
              <w:rPr>
                <w:color w:val="000000"/>
              </w:rPr>
              <w:t xml:space="preserve">, транспорту проведено </w:t>
            </w:r>
            <w:r>
              <w:t xml:space="preserve">у </w:t>
            </w:r>
            <w:r>
              <w:rPr>
                <w:color w:val="000000"/>
              </w:rPr>
              <w:t>територіальн</w:t>
            </w:r>
            <w:r>
              <w:t>ій</w:t>
            </w:r>
            <w:r>
              <w:rPr>
                <w:color w:val="000000"/>
              </w:rPr>
              <w:t xml:space="preserve"> громаді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3) організація навчання з проведення гендерного аудиту безпеки територій, </w:t>
            </w:r>
            <w:proofErr w:type="spellStart"/>
            <w:r>
              <w:rPr>
                <w:color w:val="000000"/>
              </w:rPr>
              <w:t>укриттів</w:t>
            </w:r>
            <w:proofErr w:type="spellEnd"/>
            <w:r>
              <w:rPr>
                <w:color w:val="000000"/>
              </w:rPr>
              <w:t>, транспорту для фахівців, які їх проводитимуть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t>С</w:t>
            </w:r>
            <w:r>
              <w:rPr>
                <w:color w:val="000000"/>
              </w:rPr>
              <w:t>ектор цивільного захисту та надзвичайних ситуацій Боярської міської ради</w:t>
            </w:r>
            <w:r>
              <w:t>;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громадські об’єднання та міжнародні організації (за згодою)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rPr>
                <w:color w:val="000000"/>
              </w:rPr>
            </w:pPr>
            <w:r>
              <w:rPr>
                <w:color w:val="000000"/>
              </w:rPr>
              <w:t xml:space="preserve">забезпечено навчання фахівців, які будуть проводити гендерного аудиту безпеки територій, </w:t>
            </w:r>
            <w:proofErr w:type="spellStart"/>
            <w:r>
              <w:rPr>
                <w:color w:val="000000"/>
              </w:rPr>
              <w:t>укриттів</w:t>
            </w:r>
            <w:proofErr w:type="spellEnd"/>
            <w:r>
              <w:rPr>
                <w:color w:val="000000"/>
              </w:rPr>
              <w:t>, транспорту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trHeight w:val="70"/>
        </w:trPr>
        <w:tc>
          <w:tcPr>
            <w:tcW w:w="14835" w:type="dxa"/>
            <w:gridSpan w:val="5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Оперативна ціль 2.2. Інтегровано </w:t>
            </w:r>
            <w:proofErr w:type="spellStart"/>
            <w:r>
              <w:t>гендерно</w:t>
            </w:r>
            <w:proofErr w:type="spellEnd"/>
            <w:r>
              <w:rPr>
                <w:color w:val="000000"/>
              </w:rPr>
              <w:t xml:space="preserve">-чутливі підходи до оцінки ризиків, планування, реалізації та моніторингу заходів протимінної діяльності і гуманітарного розмінування в систему національного реагування на </w:t>
            </w:r>
            <w:proofErr w:type="spellStart"/>
            <w:r>
              <w:rPr>
                <w:color w:val="000000"/>
              </w:rPr>
              <w:t>безпекові</w:t>
            </w:r>
            <w:proofErr w:type="spellEnd"/>
            <w:r>
              <w:rPr>
                <w:color w:val="000000"/>
              </w:rPr>
              <w:t xml:space="preserve"> виклики</w:t>
            </w:r>
          </w:p>
        </w:tc>
      </w:tr>
      <w:tr w:rsidR="00E4230A">
        <w:trPr>
          <w:cantSplit/>
        </w:trPr>
        <w:tc>
          <w:tcPr>
            <w:tcW w:w="1980" w:type="dxa"/>
            <w:vMerge w:val="restart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5"/>
              </w:tabs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5. Зміцнення інституційної спроможності органів державної влади, операторів протимінної діяльності та зацікавлених сторін щодо системного впровадження </w:t>
            </w:r>
            <w:proofErr w:type="spellStart"/>
            <w:r>
              <w:rPr>
                <w:color w:val="000000"/>
              </w:rPr>
              <w:t>гендерно</w:t>
            </w:r>
            <w:proofErr w:type="spellEnd"/>
            <w:r>
              <w:rPr>
                <w:color w:val="000000"/>
              </w:rPr>
              <w:t>-чутливого підходу у сфері протимінної діяльності і гуманітарного розмінування</w:t>
            </w:r>
          </w:p>
        </w:tc>
        <w:tc>
          <w:tcPr>
            <w:tcW w:w="4185" w:type="dxa"/>
          </w:tcPr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jc w:val="both"/>
              <w:rPr>
                <w:color w:val="000000"/>
              </w:rPr>
            </w:pPr>
          </w:p>
        </w:tc>
        <w:tc>
          <w:tcPr>
            <w:tcW w:w="3750" w:type="dxa"/>
          </w:tcPr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</w:p>
        </w:tc>
        <w:tc>
          <w:tcPr>
            <w:tcW w:w="3540" w:type="dxa"/>
          </w:tcPr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line="240" w:lineRule="auto"/>
              <w:ind w:left="0" w:right="-71" w:hanging="2"/>
              <w:jc w:val="both"/>
              <w:rPr>
                <w:color w:val="000000"/>
              </w:rPr>
            </w:pPr>
          </w:p>
        </w:tc>
        <w:tc>
          <w:tcPr>
            <w:tcW w:w="1380" w:type="dxa"/>
          </w:tcPr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line="240" w:lineRule="auto"/>
              <w:ind w:left="0" w:right="-71" w:hanging="2"/>
              <w:rPr>
                <w:color w:val="000000"/>
              </w:rPr>
            </w:pP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1) поширення інформації з протимінної діяльності, гендерної рівності та безпеки через диверсифіковані комунікаційні канали (об’єднання співвласників багатоквартирних будинків, житлово-експлуатаційні контори, громадський транспорт, платіжні квитанції, інфра</w:t>
            </w:r>
            <w:r>
              <w:rPr>
                <w:color w:val="000000"/>
              </w:rPr>
              <w:t>структура „</w:t>
            </w:r>
            <w:proofErr w:type="spellStart"/>
            <w:r>
              <w:rPr>
                <w:color w:val="000000"/>
              </w:rPr>
              <w:t>Укрзалізниціˮ</w:t>
            </w:r>
            <w:proofErr w:type="spellEnd"/>
            <w:r>
              <w:rPr>
                <w:color w:val="000000"/>
              </w:rPr>
              <w:t xml:space="preserve"> тощо) з урахуванням потреб осіб з інвалідністю, внутрішньо переміщених осіб, людей похилого віку, осіб з низьким рівнем цифрової грамотності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</w:pPr>
            <w:r>
              <w:rPr>
                <w:color w:val="000000"/>
              </w:rPr>
              <w:t>Управління розвитку  інфраструктури та житлово-комунального господарства</w:t>
            </w:r>
            <w:r>
              <w:rPr>
                <w:color w:val="4A86E8"/>
              </w:rPr>
              <w:t xml:space="preserve"> </w:t>
            </w:r>
            <w:r>
              <w:rPr>
                <w:color w:val="000000"/>
              </w:rPr>
              <w:t>виконавчого комітету Боярської міської ради</w:t>
            </w:r>
            <w:r>
              <w:t>;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</w:pPr>
            <w:r>
              <w:rPr>
                <w:color w:val="000000"/>
              </w:rPr>
              <w:t xml:space="preserve"> сектор цивільного захисту та надзвичайних ситуацій Боярської міської ради, управління міжнародного співробітництва, економічного аналізу та стратегічних комунікацій виконавчого комітету Боярської міської ради</w:t>
            </w:r>
            <w:r>
              <w:t>;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громадські об’єднання та міжнародні організації (за згодою)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line="240" w:lineRule="auto"/>
              <w:ind w:left="0" w:right="-71" w:hanging="2"/>
              <w:jc w:val="both"/>
              <w:rPr>
                <w:color w:val="7030A0"/>
              </w:rPr>
            </w:pPr>
            <w:r>
              <w:rPr>
                <w:color w:val="000000"/>
              </w:rPr>
              <w:t>поширено інформацію з питань протимінної діяльності, гендерної рівності та безпеки через диверсифіковані комунікаційні канали з урахуванням потреб осіб з інвалідністю, внутрішньо переміщених осіб,</w:t>
            </w:r>
            <w:r>
              <w:rPr>
                <w:color w:val="000000"/>
              </w:rPr>
              <w:t xml:space="preserve"> людей похилого віку, осіб з низьким рівнем цифрової грамотності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2026–2027</w:t>
            </w:r>
          </w:p>
        </w:tc>
      </w:tr>
      <w:tr w:rsidR="00E4230A">
        <w:trPr>
          <w:cantSplit/>
          <w:trHeight w:val="2412"/>
        </w:trPr>
        <w:tc>
          <w:tcPr>
            <w:tcW w:w="1980" w:type="dxa"/>
            <w:vMerge w:val="restart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6. Формування навичок населення і діяльності територіальної громади у сфері безпеки, з фокусом на виявлення, запобігання та </w:t>
            </w:r>
            <w:r>
              <w:rPr>
                <w:color w:val="000000"/>
              </w:rPr>
              <w:lastRenderedPageBreak/>
              <w:t xml:space="preserve">реагування на ризики, пов’язані з мінною небезпекою та вибухонебезпечними залишками війни, із забезпеченням доступності, </w:t>
            </w:r>
            <w:proofErr w:type="spellStart"/>
            <w:r>
              <w:rPr>
                <w:color w:val="000000"/>
              </w:rPr>
              <w:t>інклюзивнос</w:t>
            </w:r>
            <w:r>
              <w:rPr>
                <w:color w:val="000000"/>
              </w:rPr>
              <w:t>ті</w:t>
            </w:r>
            <w:proofErr w:type="spellEnd"/>
            <w:r>
              <w:rPr>
                <w:color w:val="000000"/>
              </w:rPr>
              <w:t xml:space="preserve"> та участі жінок</w:t>
            </w: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1) забезпечення проведення інформаційних кампаній, спрямованих на підвищення обізнаності населення про ризики поводження з вибухонебезпечними предметами, з увагою до найменш обізнаних груп населення (жінки і чоловіки старше 80 років, представники ромської </w:t>
            </w:r>
            <w:r>
              <w:rPr>
                <w:color w:val="000000"/>
              </w:rPr>
              <w:t>національної меншини (спільноти)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Управління міжнародного співробітництва, економічного аналізу та стратегічних комунікацій виконавчого комітету Боярської міської ради</w:t>
            </w:r>
            <w:r>
              <w:t>;</w:t>
            </w:r>
            <w:r>
              <w:rPr>
                <w:color w:val="000000"/>
              </w:rPr>
              <w:t xml:space="preserve"> 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управління освіти Боярської міської ради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підготовлено аналітичну довідку з інформацією </w:t>
            </w:r>
            <w:r>
              <w:rPr>
                <w:color w:val="000000"/>
              </w:rPr>
              <w:t>щодо кількості осіб, охоплених інформаційними та освітніми заходами (дітей, жінок, осіб старше 80 років, представників ромської національної меншини (спільноти) та кількості мобільних класів з мінної безпеки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line="240" w:lineRule="auto"/>
              <w:ind w:left="0" w:right="-71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2) забезпечення проходження онлайн курсу „Як навчати дітей мінної </w:t>
            </w:r>
            <w:proofErr w:type="spellStart"/>
            <w:r>
              <w:rPr>
                <w:color w:val="000000"/>
              </w:rPr>
              <w:t>безпекиˮ</w:t>
            </w:r>
            <w:proofErr w:type="spellEnd"/>
            <w:r>
              <w:rPr>
                <w:color w:val="000000"/>
              </w:rPr>
              <w:t xml:space="preserve"> для вчителів та відповідальних працівників, які  працюють у сфері мінної безпеки, освітніх серіалів, розміщених в Єдиному державному </w:t>
            </w:r>
            <w:r>
              <w:t>веб порталі</w:t>
            </w:r>
            <w:r>
              <w:rPr>
                <w:color w:val="000000"/>
              </w:rPr>
              <w:t xml:space="preserve"> цифрової освіти „Дія. </w:t>
            </w:r>
            <w:proofErr w:type="spellStart"/>
            <w:r>
              <w:rPr>
                <w:color w:val="000000"/>
              </w:rPr>
              <w:t>Освітаˮ</w:t>
            </w:r>
            <w:proofErr w:type="spellEnd"/>
            <w:r>
              <w:rPr>
                <w:color w:val="000000"/>
              </w:rPr>
              <w:t xml:space="preserve"> („Прот</w:t>
            </w:r>
            <w:r>
              <w:rPr>
                <w:color w:val="000000"/>
              </w:rPr>
              <w:t xml:space="preserve">имінна </w:t>
            </w:r>
            <w:proofErr w:type="spellStart"/>
            <w:r>
              <w:rPr>
                <w:color w:val="000000"/>
              </w:rPr>
              <w:t>безпекаˮ</w:t>
            </w:r>
            <w:proofErr w:type="spellEnd"/>
            <w:r>
              <w:rPr>
                <w:color w:val="000000"/>
              </w:rPr>
              <w:t xml:space="preserve">, „Як діяти у надзвичайних </w:t>
            </w:r>
            <w:proofErr w:type="spellStart"/>
            <w:r>
              <w:rPr>
                <w:color w:val="000000"/>
              </w:rPr>
              <w:t>ситуаціяхˮ</w:t>
            </w:r>
            <w:proofErr w:type="spellEnd"/>
            <w:r>
              <w:rPr>
                <w:color w:val="000000"/>
              </w:rPr>
              <w:t xml:space="preserve"> тощо), симулятора „Протимінна </w:t>
            </w:r>
            <w:proofErr w:type="spellStart"/>
            <w:r>
              <w:rPr>
                <w:color w:val="000000"/>
              </w:rPr>
              <w:t>безпекаˮ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 xml:space="preserve">Управління освіти Боярської міської ради 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кількість вчителів та відповідальних працівників, які  працюють у сфері мінної безпеки, які пройшли навчання;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кількість дітей, охоплених заходами мінної безпеки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line="240" w:lineRule="auto"/>
              <w:ind w:left="0" w:right="-71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cantSplit/>
          <w:trHeight w:val="317"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  <w:vMerge w:val="restart"/>
          </w:tcPr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1) організація проведення курсів самооборони для дівчат та жінок різних цільових груп</w:t>
            </w:r>
          </w:p>
        </w:tc>
        <w:tc>
          <w:tcPr>
            <w:tcW w:w="3750" w:type="dxa"/>
            <w:vMerge w:val="restart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Управління освіти Боярської міської ради</w:t>
            </w:r>
            <w:r>
              <w:t>;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громадські об’єднання та міжнародні організації (за згодою)</w:t>
            </w:r>
          </w:p>
        </w:tc>
        <w:tc>
          <w:tcPr>
            <w:tcW w:w="3540" w:type="dxa"/>
            <w:vMerge w:val="restart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12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пройшли курси самооборони щонайменше 1 000 дівчат та жінок</w:t>
            </w:r>
          </w:p>
        </w:tc>
        <w:tc>
          <w:tcPr>
            <w:tcW w:w="1380" w:type="dxa"/>
            <w:vMerge w:val="restart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6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cantSplit/>
          <w:trHeight w:val="804"/>
        </w:trPr>
        <w:tc>
          <w:tcPr>
            <w:tcW w:w="1980" w:type="dxa"/>
            <w:vMerge w:val="restart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7.Формування навичок у жінок і чоловіків, хлопців і дівчат з ідентифікації </w:t>
            </w:r>
            <w:proofErr w:type="spellStart"/>
            <w:r>
              <w:rPr>
                <w:color w:val="000000"/>
              </w:rPr>
              <w:t>безпекових</w:t>
            </w:r>
            <w:proofErr w:type="spellEnd"/>
            <w:r>
              <w:rPr>
                <w:color w:val="000000"/>
              </w:rPr>
              <w:t xml:space="preserve"> викликів, запобігання таким викликам, реагування на них.</w:t>
            </w:r>
          </w:p>
        </w:tc>
        <w:tc>
          <w:tcPr>
            <w:tcW w:w="4185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375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354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3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  <w:tr w:rsidR="00E4230A">
        <w:trPr>
          <w:cantSplit/>
          <w:trHeight w:val="1656"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2) проведення просвітницьких заходів для юнаків з розв’язання конфліктів, попередження радикалізації та </w:t>
            </w:r>
            <w:proofErr w:type="spellStart"/>
            <w:r>
              <w:rPr>
                <w:color w:val="000000"/>
              </w:rPr>
              <w:t>миробудування</w:t>
            </w:r>
            <w:proofErr w:type="spellEnd"/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 xml:space="preserve">Управління освіти Боярської міської ради, управління культури, молоді та спорту Боярської міської ради, 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громадські об’єднання та міжнарод</w:t>
            </w:r>
            <w:r>
              <w:rPr>
                <w:color w:val="000000"/>
              </w:rPr>
              <w:t>ні організації (за згодою)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12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не менше ніж 40 відсотків юнаків та чоловіків  різних цільових груп охоплені просвітницькими заходами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6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c>
          <w:tcPr>
            <w:tcW w:w="14835" w:type="dxa"/>
            <w:gridSpan w:val="5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Стратегічна ціль 3. Повоєнне відновлення враховує потреби усіх груп жінок і чоловіків у всіх сферах життя суспільства та забезпечує рівні можливості, рівний доступ до можливостей та рівноцінність результатів</w:t>
            </w:r>
          </w:p>
        </w:tc>
      </w:tr>
      <w:tr w:rsidR="00E4230A">
        <w:trPr>
          <w:trHeight w:val="685"/>
        </w:trPr>
        <w:tc>
          <w:tcPr>
            <w:tcW w:w="14835" w:type="dxa"/>
            <w:gridSpan w:val="5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Оперативна ціль 3.1. Покращено якість життя різних груп жінок і чоловіків та забезпечено соціальну згуртованість, стабільність та розвиток людського потенціалу</w:t>
            </w:r>
          </w:p>
        </w:tc>
      </w:tr>
      <w:tr w:rsidR="00E4230A">
        <w:trPr>
          <w:cantSplit/>
        </w:trPr>
        <w:tc>
          <w:tcPr>
            <w:tcW w:w="1980" w:type="dxa"/>
            <w:vMerge w:val="restart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 xml:space="preserve">8. Створення умов для розширення участі молоді у впровадженні </w:t>
            </w:r>
            <w:r>
              <w:rPr>
                <w:color w:val="000000"/>
              </w:rPr>
              <w:lastRenderedPageBreak/>
              <w:t xml:space="preserve">порядку денного „Жінки, мир, </w:t>
            </w:r>
            <w:proofErr w:type="spellStart"/>
            <w:r>
              <w:rPr>
                <w:color w:val="000000"/>
              </w:rPr>
              <w:t>безпекаˮ</w:t>
            </w:r>
            <w:proofErr w:type="spellEnd"/>
            <w:r>
              <w:rPr>
                <w:color w:val="000000"/>
              </w:rPr>
              <w:t xml:space="preserve"> та повоєнній відбудові країни</w:t>
            </w: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1) забезпечення функціонування гнучкої оптимальної мережі різних типів надавачів послуг для дітей раннього і дошкільного віку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Управління освіти Боярської міської ради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4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кількість дітей раннього і дошкільного віку, охоплених послугами 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4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кількість сімей, які скористалися послугами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4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2) проведення просвітницьких заходів та навчання для молодіжних рад та молодіжних громадських організацій щодо реалізації резолюцій Ради Безпеки ООН 1325 „Жінки, мир, </w:t>
            </w:r>
            <w:proofErr w:type="spellStart"/>
            <w:r>
              <w:rPr>
                <w:color w:val="000000"/>
              </w:rPr>
              <w:t>безпекаˮ</w:t>
            </w:r>
            <w:proofErr w:type="spellEnd"/>
            <w:r>
              <w:rPr>
                <w:color w:val="000000"/>
              </w:rPr>
              <w:t xml:space="preserve"> та резолюцій Ради Безпеки ООН 2250, 2419 щодо внеску молоді у </w:t>
            </w:r>
            <w:r>
              <w:t>розв'язанні</w:t>
            </w:r>
            <w:r>
              <w:rPr>
                <w:color w:val="000000"/>
              </w:rPr>
              <w:t xml:space="preserve"> збройн</w:t>
            </w:r>
            <w:r>
              <w:rPr>
                <w:color w:val="000000"/>
              </w:rPr>
              <w:t>их конфліктів та розбудову миру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Управління освіти Боярської міської ради, управління культури, молоді та спорту Боярської міської ради</w:t>
            </w:r>
            <w:r>
              <w:t>;</w:t>
            </w:r>
            <w:r>
              <w:rPr>
                <w:color w:val="000000"/>
              </w:rPr>
              <w:t xml:space="preserve"> 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</w:pPr>
            <w:r>
              <w:t>Молодіжна Рада при Боярській міській раді (за згодою);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 xml:space="preserve">громадські об’єднання та міжнародні організації (за згодою) 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кількість організацій, що пройшли навчання</w:t>
            </w:r>
          </w:p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jc w:val="both"/>
              <w:rPr>
                <w:color w:val="000000"/>
                <w:sz w:val="16"/>
                <w:szCs w:val="16"/>
              </w:rPr>
            </w:pP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кількість осіб, які пройшли навчання</w:t>
            </w:r>
          </w:p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jc w:val="both"/>
              <w:rPr>
                <w:color w:val="000000"/>
                <w:sz w:val="16"/>
                <w:szCs w:val="16"/>
              </w:rPr>
            </w:pP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кількість розроблених документів та пропозицій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2026-2027</w:t>
            </w:r>
          </w:p>
        </w:tc>
      </w:tr>
      <w:tr w:rsidR="00E4230A">
        <w:trPr>
          <w:cantSplit/>
        </w:trPr>
        <w:tc>
          <w:tcPr>
            <w:tcW w:w="1980" w:type="dxa"/>
            <w:vMerge w:val="restart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9. Покращення функціонування ринку праці</w:t>
            </w: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1) розширення програм професійної переорієнтації для жінок і чоловіків з орієнтацією на сектори, що мають попит та дефіцит кадрів (енергетика, будівництво, сектор безпеки і оборони, агропромислова галузь тощо)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</w:pPr>
            <w:r>
              <w:t>Управління міжнародного співробітництва, еконо</w:t>
            </w:r>
            <w:r>
              <w:t>мічного аналізу та стратегічних комунікацій виконавчого комітету Боярської міської ради;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Боярський відділ Фастівської філії Київського обласного центру зайнятості (за згодою)</w:t>
            </w:r>
            <w:r>
              <w:t>;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громадські об’єднання та міжнародні організації (за згодою)</w:t>
            </w:r>
          </w:p>
        </w:tc>
        <w:tc>
          <w:tcPr>
            <w:tcW w:w="3540" w:type="dxa"/>
          </w:tcPr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8"/>
              </w:tabs>
              <w:spacing w:line="240" w:lineRule="auto"/>
              <w:ind w:left="0" w:right="-71" w:hanging="2"/>
              <w:rPr>
                <w:color w:val="000000"/>
              </w:rPr>
            </w:pP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8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чисельність осіб, залучених до заходів з орієнтації на професійне навчання щодо професій, актуальних на ринку праці, з них жінки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8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8"/>
              </w:tabs>
              <w:spacing w:line="240" w:lineRule="auto"/>
              <w:ind w:left="0" w:right="-108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2) забезпечення безкоштовного навчання з керування транспортними засобами різного типу для жінок, дівчат і хлопців із числа сімей загиблих, зниклих </w:t>
            </w:r>
            <w:r>
              <w:t>безвісти</w:t>
            </w:r>
            <w:r>
              <w:rPr>
                <w:color w:val="000000"/>
              </w:rPr>
              <w:t>, учасників бойових дій, сімей осіб з інвалідністю внаслідок війни, дівчат та жінок</w:t>
            </w:r>
            <w:r>
              <w:t>.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Управління соці</w:t>
            </w:r>
            <w:r>
              <w:rPr>
                <w:color w:val="000000"/>
              </w:rPr>
              <w:t>ального захисту населення Боярської міської ради</w:t>
            </w:r>
            <w:r>
              <w:t>;</w:t>
            </w:r>
            <w:r>
              <w:rPr>
                <w:color w:val="000000"/>
              </w:rPr>
              <w:t xml:space="preserve"> громадські об’єднання та міжнародні організації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(за згодою)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8"/>
              </w:tabs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пройшли навчання щонайменше 100 осіб: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8"/>
              </w:tabs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щонайменше 50 жінок із числа сімей загиблих, зниклих безвісті, учасників бойових дій, сімей осіб з інвалідністю внаслідок війни;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8"/>
              </w:tabs>
              <w:spacing w:line="240" w:lineRule="auto"/>
              <w:ind w:left="0" w:right="-71" w:hanging="2"/>
              <w:jc w:val="both"/>
              <w:rPr>
                <w:color w:val="7030A0"/>
              </w:rPr>
            </w:pPr>
            <w:r>
              <w:rPr>
                <w:color w:val="000000"/>
              </w:rPr>
              <w:t>щонайменше 50 жінок</w:t>
            </w:r>
            <w:r>
              <w:t>.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8"/>
              </w:tabs>
              <w:spacing w:line="240" w:lineRule="auto"/>
              <w:ind w:left="0" w:right="-108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3) посилення інформаційної діяльності щодо видачі ваучерів для підвищення конкурентоспроможності на ринку праці, навчання жінок для працевлаштування у сферах, де вони були традиційно недостатньо представлені, навчання учасників бойових дій з орієнтацією на</w:t>
            </w:r>
            <w:r>
              <w:rPr>
                <w:color w:val="000000"/>
              </w:rPr>
              <w:t xml:space="preserve"> сектори, що мають попит та дефіцит кадрів (енергетика, будівництво, сектор безпеки і оборони, агропромислова галузь тощо)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</w:pPr>
            <w:r>
              <w:t>Управління міжнародного співробітництва, економічного аналізу та стратегічних комунікацій виконавчого комітету Боярської міської ради;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Боярський відділ Фастівської філії Київського обласного центру зайнятості (за згодою)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8"/>
              </w:tabs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зростання кількості ваучерів, видан</w:t>
            </w:r>
            <w:r>
              <w:rPr>
                <w:color w:val="000000"/>
              </w:rPr>
              <w:t>их жінкам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8"/>
              </w:tabs>
              <w:spacing w:line="240" w:lineRule="auto"/>
              <w:ind w:left="0" w:right="-108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cantSplit/>
        </w:trPr>
        <w:tc>
          <w:tcPr>
            <w:tcW w:w="1980" w:type="dxa"/>
            <w:vMerge w:val="restart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lastRenderedPageBreak/>
              <w:t>10</w:t>
            </w:r>
            <w:r>
              <w:rPr>
                <w:color w:val="000000"/>
              </w:rPr>
              <w:t>. Впровадження інтеграційних заходів для соціальної згуртованості різних груп жінок та чоловіків</w:t>
            </w: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2"/>
              </w:tabs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1) організація проведення тренінгів з навичок подолання соціальних конфліктів, безконфліктного спілкування та взаємоповаги для громадськості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Управління соціального захисту населення Боярської міської ради</w:t>
            </w:r>
            <w:r>
              <w:t>;</w:t>
            </w:r>
            <w:r>
              <w:rPr>
                <w:color w:val="000000"/>
              </w:rPr>
              <w:t xml:space="preserve"> громадські об’єднання та міжнародні організації (з</w:t>
            </w:r>
            <w:r>
              <w:rPr>
                <w:color w:val="000000"/>
              </w:rPr>
              <w:t>а згодою)</w:t>
            </w:r>
          </w:p>
        </w:tc>
        <w:tc>
          <w:tcPr>
            <w:tcW w:w="3540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проведено щонайменше 5 тренінгів, охоплено більше </w:t>
            </w:r>
            <w:r>
              <w:t>1</w:t>
            </w:r>
            <w:r>
              <w:rPr>
                <w:color w:val="000000"/>
              </w:rPr>
              <w:t> 000 учасників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2"/>
              </w:tabs>
              <w:spacing w:line="240" w:lineRule="auto"/>
              <w:ind w:left="0" w:right="-71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2"/>
              </w:tabs>
              <w:spacing w:line="240" w:lineRule="auto"/>
              <w:ind w:left="0" w:right="-71" w:hanging="2"/>
              <w:jc w:val="both"/>
              <w:rPr>
                <w:color w:val="000000"/>
              </w:rPr>
            </w:pPr>
          </w:p>
        </w:tc>
        <w:tc>
          <w:tcPr>
            <w:tcW w:w="3750" w:type="dxa"/>
          </w:tcPr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2"/>
              </w:tabs>
              <w:spacing w:line="240" w:lineRule="auto"/>
              <w:ind w:left="0" w:right="-71" w:hanging="2"/>
              <w:rPr>
                <w:color w:val="000000"/>
              </w:rPr>
            </w:pPr>
          </w:p>
        </w:tc>
        <w:tc>
          <w:tcPr>
            <w:tcW w:w="3540" w:type="dxa"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</w:p>
        </w:tc>
        <w:tc>
          <w:tcPr>
            <w:tcW w:w="1380" w:type="dxa"/>
          </w:tcPr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2"/>
              </w:tabs>
              <w:spacing w:line="240" w:lineRule="auto"/>
              <w:ind w:left="0" w:right="-71" w:hanging="2"/>
              <w:jc w:val="center"/>
              <w:rPr>
                <w:color w:val="000000"/>
              </w:rPr>
            </w:pP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2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2) створення безпечних інклюзивних просторів для зустрічей і комунікації жінок та чоловіків різного віку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</w:pPr>
            <w:r>
              <w:rPr>
                <w:color w:val="000000"/>
              </w:rPr>
              <w:t>Управління соціального захисту населення Боярської міської ради</w:t>
            </w:r>
            <w:r>
              <w:t xml:space="preserve"> та виконавчі органи;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 xml:space="preserve"> громадські об’єднання та міжнародні організації (за згодою)</w:t>
            </w:r>
          </w:p>
        </w:tc>
        <w:tc>
          <w:tcPr>
            <w:tcW w:w="3540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t>в</w:t>
            </w:r>
            <w:r>
              <w:rPr>
                <w:color w:val="000000"/>
              </w:rPr>
              <w:t xml:space="preserve"> територіальній громаді створено щонайменше один безпечний інклюзивний простір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2"/>
              </w:tabs>
              <w:spacing w:line="240" w:lineRule="auto"/>
              <w:ind w:left="0" w:right="-71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c>
          <w:tcPr>
            <w:tcW w:w="14835" w:type="dxa"/>
            <w:gridSpan w:val="5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Оперативна ціль 3.2. Комплексне відновлення територій здійснюється із врахуванням гендерного підходу</w:t>
            </w:r>
          </w:p>
        </w:tc>
      </w:tr>
      <w:tr w:rsidR="00E4230A">
        <w:trPr>
          <w:cantSplit/>
        </w:trPr>
        <w:tc>
          <w:tcPr>
            <w:tcW w:w="1980" w:type="dxa"/>
            <w:vMerge w:val="restart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1</w:t>
            </w:r>
            <w:r>
              <w:rPr>
                <w:color w:val="000000"/>
              </w:rPr>
              <w:t xml:space="preserve">. Сприяти залученню жінок до процесів повоєнного відновлення у сфері сільського господарства та продовольчої безпеки, </w:t>
            </w:r>
            <w:r>
              <w:rPr>
                <w:color w:val="000000"/>
              </w:rPr>
              <w:lastRenderedPageBreak/>
              <w:t>забезпечивши рівний доступ до земельних, фінансових, освітніх ресурсів і державних програм підтримки</w:t>
            </w: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1) проведення аналізу бюджетних прогр</w:t>
            </w:r>
            <w:r>
              <w:rPr>
                <w:color w:val="000000"/>
              </w:rPr>
              <w:t xml:space="preserve">ам підтримки </w:t>
            </w:r>
            <w:r>
              <w:t xml:space="preserve">мікро малого та середнього підприємництва,  </w:t>
            </w:r>
            <w:r>
              <w:rPr>
                <w:color w:val="000000"/>
              </w:rPr>
              <w:t xml:space="preserve"> продовольчої безпеки в частині рівного залучення жінок до реалізації цих програм, у тому числі жінок, внутрішньо переміщених, </w:t>
            </w:r>
            <w:r>
              <w:t>ветеранів</w:t>
            </w:r>
            <w:r>
              <w:rPr>
                <w:color w:val="000000"/>
              </w:rPr>
              <w:t>, жінок та чоловіків, які самостійно виховують дітей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</w:pPr>
            <w:r>
              <w:rPr>
                <w:color w:val="000000"/>
              </w:rPr>
              <w:t>Відділ економічного аналізу та стратегічного планування управління міжнародного співробітництва, економічного аналізу та стратегічних комунікацій виконавчого комітету Боярської міської ради</w:t>
            </w:r>
            <w:r>
              <w:t>;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серед отримувачів програм державної підтримки щонайменше 40 від</w:t>
            </w:r>
            <w:r>
              <w:rPr>
                <w:color w:val="000000"/>
              </w:rPr>
              <w:t>сотків жінок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14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2) інтеграція тематики продовольчої безпеки, доступу до землі та прав жінок у аграрну політику та регіональні стратегії відновлення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2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Відділ економічного аналізу та стратегічного планування управління міжнародного співробітництва, економічного аналізу та стратегічних комунікацій виконавчого комітету Боярської міської ради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регіональні стратегії відновлення включають заходи щодо прав жінок</w:t>
            </w:r>
            <w:r>
              <w:rPr>
                <w:color w:val="000000"/>
              </w:rPr>
              <w:t>, забезпечення продовольчої безпеки та доступу до земельних ресурсів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14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cantSplit/>
        </w:trPr>
        <w:tc>
          <w:tcPr>
            <w:tcW w:w="1980" w:type="dxa"/>
            <w:vMerge w:val="restart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  <w:r>
              <w:t>2</w:t>
            </w:r>
            <w:r>
              <w:rPr>
                <w:color w:val="000000"/>
              </w:rPr>
              <w:t xml:space="preserve">. Впровадження програм укріплення психічного здоров’я для осіб, які працюють в органах державної влади, місцевого самоврядування, секторі безпеки і </w:t>
            </w:r>
            <w:r>
              <w:t>оборони</w:t>
            </w: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1)впровадження програм психосоціальної підтримки для фахівців  місцевого самоврядування, які зазнають впливу вторинної травматизації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Управління соціального захисту населення Боярської міської ради</w:t>
            </w:r>
            <w:r>
              <w:t>;</w:t>
            </w:r>
            <w:r>
              <w:rPr>
                <w:color w:val="000000"/>
              </w:rPr>
              <w:br/>
              <w:t>громадські об’єднання та міжнародні організації (за згодою</w:t>
            </w:r>
            <w:r>
              <w:rPr>
                <w:color w:val="000000"/>
              </w:rPr>
              <w:t>)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запроваджено щонайменше 5 пілотних програм; не менше 300 осіб охоплено за рік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4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2026–2027</w:t>
            </w: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2) організація проведення тренінгів з попередження професійного вигорання, управління стресом, саморегуляції та відновлення для державних службовців 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Управління соціального захисту населення Боярської міської ради</w:t>
            </w:r>
            <w:r>
              <w:t>;</w:t>
            </w:r>
            <w:r>
              <w:rPr>
                <w:color w:val="000000"/>
              </w:rPr>
              <w:t xml:space="preserve"> громадські об’єднання та міжнародні організації (за згодою)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щонайменше 80 відсотків працівників пройшли тренінги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6" w:hanging="2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c>
          <w:tcPr>
            <w:tcW w:w="19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3</w:t>
            </w:r>
            <w:r>
              <w:rPr>
                <w:color w:val="000000"/>
              </w:rPr>
              <w:t xml:space="preserve">. Формування інклюзивної культури </w:t>
            </w:r>
            <w:proofErr w:type="spellStart"/>
            <w:r>
              <w:rPr>
                <w:color w:val="000000"/>
              </w:rPr>
              <w:t>памʼяті</w:t>
            </w:r>
            <w:proofErr w:type="spellEnd"/>
            <w:r>
              <w:rPr>
                <w:color w:val="000000"/>
              </w:rPr>
              <w:t xml:space="preserve"> про постраждалих, загиблих та воєнні злочини, як важливого елементу відновлення та соціальної згуртованості</w:t>
            </w: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1) проведення аналізу досвіду України та інших держав, що мали досвід формування культури </w:t>
            </w:r>
            <w:proofErr w:type="spellStart"/>
            <w:r>
              <w:rPr>
                <w:color w:val="000000"/>
              </w:rPr>
              <w:t>памʼяті</w:t>
            </w:r>
            <w:proofErr w:type="spellEnd"/>
            <w:r>
              <w:rPr>
                <w:color w:val="000000"/>
              </w:rPr>
              <w:t xml:space="preserve"> про постраждалих, загиблих та злочини, пов’язані з війною, щодо організації місць пам’яті, меморіалів, публічних подій з урахуванням гендерного підходу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Управл</w:t>
            </w:r>
            <w:r>
              <w:rPr>
                <w:color w:val="000000"/>
              </w:rPr>
              <w:t>іння культури, молоді та спорту Боярської міської ради</w:t>
            </w:r>
            <w:r>
              <w:t xml:space="preserve">; </w:t>
            </w:r>
            <w:r>
              <w:rPr>
                <w:color w:val="000000"/>
              </w:rPr>
              <w:t>громадські об’єднання та міжнародні організації (за згодою)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підготовлено аналітичний звіт за результатами аналізу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4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2026–2028</w:t>
            </w:r>
          </w:p>
        </w:tc>
      </w:tr>
      <w:tr w:rsidR="00E4230A">
        <w:tc>
          <w:tcPr>
            <w:tcW w:w="14835" w:type="dxa"/>
            <w:gridSpan w:val="5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Стратегічна ціль 4. Забезпечено взаємодію суб’єктів, діяльність яких спрямована на виявлення, реагування та подолання наслідків сексуального насильства, пов’язаного зі збройною агресією Російської Федерації проти України, а також інших міжнародних злочинів</w:t>
            </w:r>
            <w:r>
              <w:rPr>
                <w:color w:val="000000"/>
              </w:rPr>
              <w:t>, що спричиняють особливо тяжкі наслідки для жінок і чоловіків, дівчат і хлопців</w:t>
            </w:r>
          </w:p>
        </w:tc>
      </w:tr>
      <w:tr w:rsidR="00E4230A">
        <w:tc>
          <w:tcPr>
            <w:tcW w:w="14835" w:type="dxa"/>
            <w:gridSpan w:val="5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Оперативна ціль 4.1. Впроваджено ефективну систему міжвідомчої взаємодії суб'єктів на національному та місцевому рівнях щодо виявлення та реагування на міжнародні / воєнні зл</w:t>
            </w:r>
            <w:r>
              <w:rPr>
                <w:color w:val="000000"/>
              </w:rPr>
              <w:t>очини</w:t>
            </w:r>
          </w:p>
        </w:tc>
      </w:tr>
      <w:tr w:rsidR="00E4230A">
        <w:tc>
          <w:tcPr>
            <w:tcW w:w="14835" w:type="dxa"/>
            <w:gridSpan w:val="5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4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Оперативна ціль 4.2. Забезпечено надання своєчасної, ефективної комплексної допомоги та репарацій особам, які постраждали від сексуального насильства, пов’язаного зі збройною агресією, та воєнних злочинів з урахуванням потреб різних категорій жінок та чоло</w:t>
            </w:r>
            <w:r>
              <w:rPr>
                <w:color w:val="000000"/>
              </w:rPr>
              <w:t>віків, дівчат та хлопців</w:t>
            </w:r>
          </w:p>
        </w:tc>
      </w:tr>
      <w:tr w:rsidR="00E4230A">
        <w:trPr>
          <w:cantSplit/>
        </w:trPr>
        <w:tc>
          <w:tcPr>
            <w:tcW w:w="1980" w:type="dxa"/>
            <w:vMerge w:val="restart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4</w:t>
            </w:r>
            <w:r>
              <w:rPr>
                <w:color w:val="000000"/>
              </w:rPr>
              <w:t>. Забезпечення надання спеціалізованої підтримки постраждалим від сексуального насильства, пов’язаного зі збройною агресією, на національному рівні</w:t>
            </w:r>
          </w:p>
        </w:tc>
        <w:tc>
          <w:tcPr>
            <w:tcW w:w="4185" w:type="dxa"/>
          </w:tcPr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2" w:hanging="2"/>
              <w:jc w:val="both"/>
              <w:rPr>
                <w:color w:val="000000"/>
              </w:rPr>
            </w:pPr>
          </w:p>
        </w:tc>
        <w:tc>
          <w:tcPr>
            <w:tcW w:w="3750" w:type="dxa"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2" w:hanging="2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3540" w:type="dxa"/>
          </w:tcPr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</w:p>
        </w:tc>
        <w:tc>
          <w:tcPr>
            <w:tcW w:w="1380" w:type="dxa"/>
          </w:tcPr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4" w:hanging="2"/>
              <w:jc w:val="center"/>
              <w:rPr>
                <w:color w:val="000000"/>
              </w:rPr>
            </w:pPr>
          </w:p>
        </w:tc>
      </w:tr>
      <w:tr w:rsidR="00E4230A">
        <w:trPr>
          <w:cantSplit/>
          <w:trHeight w:val="2218"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2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1) забезпечення моніторингу діяльності спеціалізованих служб підтримки з надання допомоги особам, постраждалим від сексуального насильства, пов’язаного із збройною агресією, у тому числі Центрів допомоги врятованим</w:t>
            </w:r>
          </w:p>
        </w:tc>
        <w:tc>
          <w:tcPr>
            <w:tcW w:w="3750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2" w:hanging="2"/>
              <w:rPr>
                <w:color w:val="000000"/>
              </w:rPr>
            </w:pPr>
            <w:r>
              <w:rPr>
                <w:color w:val="000000"/>
              </w:rPr>
              <w:t xml:space="preserve">Управління соціального захисту населення </w:t>
            </w:r>
            <w:r>
              <w:rPr>
                <w:color w:val="000000"/>
              </w:rPr>
              <w:t>Боярської міської ради</w:t>
            </w:r>
          </w:p>
        </w:tc>
        <w:tc>
          <w:tcPr>
            <w:tcW w:w="3540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2" w:hanging="2"/>
              <w:rPr>
                <w:color w:val="000000"/>
              </w:rPr>
            </w:pPr>
            <w:r>
              <w:rPr>
                <w:color w:val="000000"/>
              </w:rPr>
              <w:t>проведено моніторинг</w:t>
            </w:r>
          </w:p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2" w:hanging="2"/>
              <w:rPr>
                <w:color w:val="000000"/>
              </w:rPr>
            </w:pPr>
          </w:p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2" w:hanging="2"/>
              <w:rPr>
                <w:color w:val="000000"/>
              </w:rPr>
            </w:pPr>
            <w:r>
              <w:rPr>
                <w:color w:val="000000"/>
              </w:rPr>
              <w:t>результати моніторингу розміщено на сайті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4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2026-2030</w:t>
            </w:r>
          </w:p>
        </w:tc>
      </w:tr>
      <w:tr w:rsidR="00E4230A">
        <w:trPr>
          <w:cantSplit/>
        </w:trPr>
        <w:tc>
          <w:tcPr>
            <w:tcW w:w="1980" w:type="dxa"/>
            <w:vMerge w:val="restart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5</w:t>
            </w:r>
            <w:r>
              <w:rPr>
                <w:color w:val="000000"/>
              </w:rPr>
              <w:t xml:space="preserve">. Забезпечення надання спеціалізованої допомоги постраждалим від сексуального насильства, пов’язаного зі збройною агресією, та незаконного позбавлення особистої свободи внаслідок збройної агресії </w:t>
            </w:r>
            <w:r>
              <w:rPr>
                <w:color w:val="000000"/>
              </w:rPr>
              <w:lastRenderedPageBreak/>
              <w:t>проти України  на рівні громади</w:t>
            </w: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1) проведення навчання для фахівців мобільних груп громади, які будуть надавати соціально-психологічну і медичну допомогу постраждалим від сексуального насильства, пов’язаного зі збройною агресією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FF0000"/>
              </w:rPr>
            </w:pPr>
            <w:r>
              <w:rPr>
                <w:color w:val="000000"/>
              </w:rPr>
              <w:t xml:space="preserve">Управління соціального захисту населення Боярської міської </w:t>
            </w:r>
            <w:r>
              <w:rPr>
                <w:color w:val="000000"/>
              </w:rPr>
              <w:t>ради</w:t>
            </w:r>
            <w:r>
              <w:t>;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громадські об’єднання та міжнародні організації (за згодою)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фахівці мобільних груп пройшли навчання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4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2)забезпечення надання соціально-психологічної і медичної допомоги постраждалим від сексуального насильства, пов’язаного зі збройною агресією, спеціалізованими мобільними бригадами/групами на рівні громади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Управління соціального захисту населення Боярської</w:t>
            </w:r>
            <w:r>
              <w:rPr>
                <w:color w:val="000000"/>
              </w:rPr>
              <w:t xml:space="preserve"> міської ради</w:t>
            </w:r>
            <w:r>
              <w:t>;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 xml:space="preserve">громадські об’єднання та міжнародні організації (за згодою)   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підготовлено аналітичний звіт з інформацією про кількість бригад /груп, що працюють на рівні громади (за видами наданої допомоги, місцем розташування), 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кількість осіб, які отримали допомогу (з розподілом за статтю, віком, типом допомоги, місцезнаходженням)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4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  <w:tab w:val="left" w:pos="284"/>
              </w:tabs>
              <w:spacing w:line="240" w:lineRule="auto"/>
              <w:ind w:left="0" w:right="-7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3) забезпечення надання безоплатної правничої допомоги постраждалим від сексуального насильства, пов’язаного зі збройною агресією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Управління соціального захисту населення Боярської міської ради</w:t>
            </w:r>
          </w:p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601"/>
              </w:tabs>
              <w:spacing w:line="240" w:lineRule="auto"/>
              <w:ind w:left="0" w:right="-71" w:hanging="2"/>
              <w:rPr>
                <w:color w:val="000000"/>
              </w:rPr>
            </w:pP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Підготовлено аналітичну довідку щодо отримувачів безоплатної правничої допомоги з питань, пов’язаних з сексуальним насильством, пов’язаним зі збройною агресією (з розподілом за статтю, віком,</w:t>
            </w:r>
            <w:r>
              <w:rPr>
                <w:color w:val="000000"/>
              </w:rPr>
              <w:t xml:space="preserve"> регіоном, категорією питань, типом отриманої допомоги)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4) проведення гендерного аналізу програм підтримки родин цивільних незаконно позбавлених свободи та військових полонених, дітей, а також процесу відновлення родин після звільнення військовополонених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Управління соціального захисту населення Боярської місько</w:t>
            </w:r>
            <w:r>
              <w:rPr>
                <w:color w:val="000000"/>
              </w:rPr>
              <w:t>ї ради</w:t>
            </w:r>
            <w:r>
              <w:t>;</w:t>
            </w:r>
          </w:p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 xml:space="preserve">громадські об’єднання та міжнародні організації (за згодою)   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12" w:hanging="2"/>
              <w:rPr>
                <w:color w:val="000000"/>
              </w:rPr>
            </w:pPr>
            <w:r>
              <w:rPr>
                <w:color w:val="000000"/>
              </w:rPr>
              <w:t>підготовлено аналітичний звіт за результатами проведеного аналізу  з рекомендаціями щодо врахування гендерного підходу у відповідних політиках і програмах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5) запровадження на рівні громади механізмів </w:t>
            </w:r>
            <w:proofErr w:type="spellStart"/>
            <w:r>
              <w:rPr>
                <w:color w:val="000000"/>
              </w:rPr>
              <w:t>перенаправлення</w:t>
            </w:r>
            <w:proofErr w:type="spellEnd"/>
            <w:r>
              <w:rPr>
                <w:color w:val="000000"/>
              </w:rPr>
              <w:t xml:space="preserve"> потерпілих осіб до правоохоронних органів та органів правопорядку для реалізації права таких потерпілих на доступ до правосуддя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Управління соціального захисту населення Боярської міської ради,</w:t>
            </w:r>
          </w:p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громадські об’єднання та міжнародні організації (за згодою)   </w:t>
            </w:r>
          </w:p>
        </w:tc>
        <w:tc>
          <w:tcPr>
            <w:tcW w:w="354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зростання кількості осіб, які реалізували своє право на доступ до правосуддя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cantSplit/>
        </w:trPr>
        <w:tc>
          <w:tcPr>
            <w:tcW w:w="1980" w:type="dxa"/>
            <w:vMerge w:val="restart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6</w:t>
            </w:r>
            <w:r>
              <w:rPr>
                <w:color w:val="000000"/>
              </w:rPr>
              <w:t xml:space="preserve">. Посилення економічної стійкості осіб, які постраждали </w:t>
            </w:r>
            <w:r>
              <w:rPr>
                <w:color w:val="333333"/>
                <w:highlight w:val="white"/>
              </w:rPr>
              <w:t>внаслідок воєнних дій</w:t>
            </w:r>
            <w:r>
              <w:rPr>
                <w:color w:val="000000"/>
              </w:rPr>
              <w:t xml:space="preserve">, у тому числі від сексуального насильства, пов’язаного зі </w:t>
            </w:r>
            <w:r>
              <w:rPr>
                <w:color w:val="000000"/>
              </w:rPr>
              <w:lastRenderedPageBreak/>
              <w:t>збройною агресією</w:t>
            </w:r>
          </w:p>
        </w:tc>
        <w:tc>
          <w:tcPr>
            <w:tcW w:w="4185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lastRenderedPageBreak/>
              <w:t>1) надання комплексної підтримки з працевлаштування та розвитку професійного потенціалу вразливим групам жінок і дівчат (зокрема ВПО та постраждалим від сексуального насильства, п</w:t>
            </w:r>
            <w:r>
              <w:rPr>
                <w:color w:val="000000"/>
              </w:rPr>
              <w:t xml:space="preserve">ов’язаного зі збройною агресією, </w:t>
            </w:r>
            <w:r>
              <w:t>ветеранам</w:t>
            </w:r>
            <w:r>
              <w:rPr>
                <w:color w:val="000000"/>
              </w:rPr>
              <w:t xml:space="preserve">, у тому числі з інвалідністю) з урахуванням доступу жінок </w:t>
            </w:r>
            <w:r>
              <w:t>з громади</w:t>
            </w:r>
            <w:r>
              <w:rPr>
                <w:color w:val="000000"/>
              </w:rPr>
              <w:t>, включно з мобільними або гібридними форматами участі</w:t>
            </w:r>
          </w:p>
        </w:tc>
        <w:tc>
          <w:tcPr>
            <w:tcW w:w="375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ind w:left="0" w:right="-71" w:hanging="2"/>
              <w:rPr>
                <w:color w:val="000000"/>
              </w:rPr>
            </w:pPr>
            <w:r>
              <w:rPr>
                <w:color w:val="000000"/>
              </w:rPr>
              <w:t>Управління соціального захисту населення Боярської міської ради</w:t>
            </w:r>
            <w:r>
              <w:t>;</w:t>
            </w:r>
          </w:p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громадські об’єднання та міжнародні організації (за згодою)   </w:t>
            </w:r>
          </w:p>
        </w:tc>
        <w:tc>
          <w:tcPr>
            <w:tcW w:w="3540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t xml:space="preserve">кількість жінок і дівчат з числа ВПО, постраждалих від сексуального насильства, пов’язаного зі збройною агресією, </w:t>
            </w:r>
            <w:proofErr w:type="spellStart"/>
            <w:r>
              <w:rPr>
                <w:color w:val="000000"/>
              </w:rPr>
              <w:t>ветеранок</w:t>
            </w:r>
            <w:proofErr w:type="spellEnd"/>
            <w:r>
              <w:rPr>
                <w:color w:val="000000"/>
              </w:rPr>
              <w:t>, у тому числі з інвалідністю, які здобули нову професійну кваліфікаці</w:t>
            </w:r>
            <w:r>
              <w:rPr>
                <w:color w:val="000000"/>
              </w:rPr>
              <w:t>ю</w:t>
            </w:r>
          </w:p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</w:p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t>частка жінок, які були працевлаштовані після завершення навчання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4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2026–2030  </w:t>
            </w: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2) проведення заходів для підвищення рівня фінансової грамотності, з питань бюджетування та інвестицій з урахуванням потреб різних груп жінок і дівчат</w:t>
            </w:r>
          </w:p>
        </w:tc>
        <w:tc>
          <w:tcPr>
            <w:tcW w:w="3750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4"/>
              </w:tabs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Управління міжнародного співробітництва, економічного аналізу та стратегічних комунікацій виконавчого комітету Боярської міської ради</w:t>
            </w:r>
          </w:p>
        </w:tc>
        <w:tc>
          <w:tcPr>
            <w:tcW w:w="3540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t xml:space="preserve">проведено дослідження (опитування) щодо потреб різних груп жінок і </w:t>
            </w:r>
            <w:r>
              <w:t>дівчат</w:t>
            </w:r>
            <w:r>
              <w:rPr>
                <w:color w:val="000000"/>
              </w:rPr>
              <w:t xml:space="preserve">  </w:t>
            </w:r>
          </w:p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  <w:sz w:val="16"/>
                <w:szCs w:val="16"/>
              </w:rPr>
            </w:pPr>
          </w:p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t>кількість осіб, залучених до навчальних заходів (тренінгів/курсів/</w:t>
            </w:r>
            <w:proofErr w:type="spellStart"/>
            <w:r>
              <w:rPr>
                <w:color w:val="000000"/>
              </w:rPr>
              <w:t>вебінарів</w:t>
            </w:r>
            <w:proofErr w:type="spellEnd"/>
            <w:r>
              <w:rPr>
                <w:color w:val="000000"/>
              </w:rPr>
              <w:t>) - не менше 200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4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2006–2027</w:t>
            </w:r>
          </w:p>
        </w:tc>
      </w:tr>
      <w:tr w:rsidR="00E4230A">
        <w:trPr>
          <w:trHeight w:val="618"/>
        </w:trPr>
        <w:tc>
          <w:tcPr>
            <w:tcW w:w="14835" w:type="dxa"/>
            <w:gridSpan w:val="5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Оперативна ціль 4.3. Забезпечено інституційну спроможність суб’єктів, які виявляють, розслідують злочини сексуального насильства, пов’язаного зі збройною агресією, та інші воєнні злочини, а також надають допомогу постраждалим від такого насильства</w:t>
            </w:r>
          </w:p>
        </w:tc>
      </w:tr>
      <w:tr w:rsidR="00E4230A">
        <w:trPr>
          <w:cantSplit/>
        </w:trPr>
        <w:tc>
          <w:tcPr>
            <w:tcW w:w="1980" w:type="dxa"/>
            <w:vMerge w:val="restart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7</w:t>
            </w:r>
            <w:r>
              <w:rPr>
                <w:color w:val="000000"/>
              </w:rPr>
              <w:t xml:space="preserve">. Забезпечення </w:t>
            </w:r>
            <w:r>
              <w:rPr>
                <w:strike/>
                <w:color w:val="000000"/>
              </w:rPr>
              <w:t xml:space="preserve"> </w:t>
            </w:r>
            <w:r>
              <w:rPr>
                <w:color w:val="000000"/>
              </w:rPr>
              <w:t>високого рівня знань та навичок фахівців, які працюють з особами, які постраждали від сексуального насильства, пов’язаного зі збройною агресією,  та інших воєнних злочинів</w:t>
            </w:r>
          </w:p>
        </w:tc>
        <w:tc>
          <w:tcPr>
            <w:tcW w:w="4185" w:type="dxa"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jc w:val="both"/>
              <w:rPr>
                <w:color w:val="000000"/>
              </w:rPr>
            </w:pPr>
          </w:p>
        </w:tc>
        <w:tc>
          <w:tcPr>
            <w:tcW w:w="3750" w:type="dxa"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</w:p>
        </w:tc>
        <w:tc>
          <w:tcPr>
            <w:tcW w:w="3540" w:type="dxa"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</w:p>
        </w:tc>
        <w:tc>
          <w:tcPr>
            <w:tcW w:w="1380" w:type="dxa"/>
          </w:tcPr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4" w:hanging="2"/>
              <w:jc w:val="center"/>
              <w:rPr>
                <w:color w:val="000000"/>
              </w:rPr>
            </w:pP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1) організація проведення навчання персоналу медичних установ, установ судово-медичної та судово-психіатричної експертизи,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соціальних установ відповідно до сфери їх компетенції з ідентифікації та допомоги постраждалим, у тому числі щодо репарацій, використ</w:t>
            </w:r>
            <w:r>
              <w:rPr>
                <w:color w:val="000000"/>
              </w:rPr>
              <w:t xml:space="preserve">ання </w:t>
            </w:r>
            <w:r>
              <w:t>постраждало центричного</w:t>
            </w:r>
            <w:r>
              <w:rPr>
                <w:color w:val="000000"/>
              </w:rPr>
              <w:t xml:space="preserve"> підходу та використання системи </w:t>
            </w:r>
            <w:proofErr w:type="spellStart"/>
            <w:r>
              <w:rPr>
                <w:color w:val="000000"/>
              </w:rPr>
              <w:t>перенаправлення</w:t>
            </w:r>
            <w:proofErr w:type="spellEnd"/>
            <w:r>
              <w:rPr>
                <w:color w:val="000000"/>
              </w:rPr>
              <w:t xml:space="preserve"> на основі кейс-менеджменту та щорічне проведення моніторингу отриманих знань</w:t>
            </w:r>
          </w:p>
        </w:tc>
        <w:tc>
          <w:tcPr>
            <w:tcW w:w="3750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Сектор охорони здоров’я виконавчого комітету Боярської міської ради</w:t>
            </w:r>
            <w:r>
              <w:t>;</w:t>
            </w:r>
          </w:p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t>громадські об’єднання та міжнарод</w:t>
            </w:r>
            <w:r>
              <w:rPr>
                <w:color w:val="000000"/>
              </w:rPr>
              <w:t>ні організації (за згодою)</w:t>
            </w:r>
          </w:p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</w:p>
        </w:tc>
        <w:tc>
          <w:tcPr>
            <w:tcW w:w="3540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t>щорічно навчені щонайменше 20 осіб з відповідних установ</w:t>
            </w:r>
          </w:p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  <w:sz w:val="16"/>
                <w:szCs w:val="16"/>
              </w:rPr>
            </w:pPr>
          </w:p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t>рівень знань персоналу зростає щороку щонайменше на 15 відсотків за результатами оцінювання</w:t>
            </w:r>
          </w:p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  <w:sz w:val="16"/>
                <w:szCs w:val="16"/>
              </w:rPr>
            </w:pPr>
          </w:p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t>підготовлено та опубліковано аналітичний звіт щодо результатів навчання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4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2) проведення систематичних комплексних навчань для органів місцевого самоврядування з питань етичної та чутливої комунікації щодо запобігання та протидії сексуальному насильству, пов’язаному зі збройною агресією</w:t>
            </w:r>
          </w:p>
        </w:tc>
        <w:tc>
          <w:tcPr>
            <w:tcW w:w="3750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t>Управління соціального захисту населення Боярської міської ради</w:t>
            </w:r>
          </w:p>
        </w:tc>
        <w:tc>
          <w:tcPr>
            <w:tcW w:w="3540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2" w:hanging="2"/>
              <w:rPr>
                <w:color w:val="000000"/>
              </w:rPr>
            </w:pPr>
            <w:r>
              <w:rPr>
                <w:color w:val="000000"/>
              </w:rPr>
              <w:t>частка посадових осіб місцевого самоврядування, які пройшли навчання щодо комунікації щодо з питань сексуального насильства, пов’язаного зі збройною агресією</w:t>
            </w:r>
          </w:p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  <w:sz w:val="16"/>
                <w:szCs w:val="16"/>
              </w:rPr>
            </w:pPr>
          </w:p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t>частка посадових осіб місцевого самоврядування, які демонструють високий рівень знань щодо комунікації з особами, які постраждали від сексуального насильства, пов’язаного зі збройною агресією, з урахуванням їх статі, віку, місця проживання)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4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2026–2030 </w:t>
            </w:r>
          </w:p>
        </w:tc>
      </w:tr>
      <w:tr w:rsidR="00E4230A">
        <w:tc>
          <w:tcPr>
            <w:tcW w:w="14835" w:type="dxa"/>
            <w:gridSpan w:val="5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Оперативна ціль 4.4. Підвищено інформування про сексуальне насильство, пов’язане зі збройною агресією, та обізнаність постраждалих від сексуального насильства, пов’язаного зі збройною агресією, щодо звернення за допомогою та доступу до правосуддя</w:t>
            </w:r>
          </w:p>
        </w:tc>
      </w:tr>
      <w:tr w:rsidR="00E4230A">
        <w:tc>
          <w:tcPr>
            <w:tcW w:w="1980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8</w:t>
            </w:r>
            <w:r>
              <w:rPr>
                <w:color w:val="70AD47"/>
              </w:rPr>
              <w:t xml:space="preserve">. </w:t>
            </w:r>
            <w:r>
              <w:rPr>
                <w:color w:val="000000"/>
              </w:rPr>
              <w:t>Підв</w:t>
            </w:r>
            <w:r>
              <w:rPr>
                <w:color w:val="000000"/>
              </w:rPr>
              <w:t>ищення обізнаності громадськості щодо ідентифікації злочинів сексуального насильства, пов’язаного зі збройною агресією, правовий захист та послуги підтримку постраждалих осіб</w:t>
            </w:r>
          </w:p>
        </w:tc>
        <w:tc>
          <w:tcPr>
            <w:tcW w:w="4185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1) проведення місцевих кампаній з підвищення обізнаності суспільства про:</w:t>
            </w:r>
          </w:p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сексуальне насильство, пов’язане зі збройною агресією (поняття, форми, план дій постраждалих і свідків, можливості отримання медичної допомоги, ефективні способи надання емоційної підтримки постраждалим від сексуального насильства, пов’язаного зі збройн</w:t>
            </w:r>
            <w:r>
              <w:rPr>
                <w:color w:val="000000"/>
              </w:rPr>
              <w:t>ою агресією, без повторної травматизації, чутлива комунікація з постраждалими);</w:t>
            </w:r>
          </w:p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спеціалізовані служби підтримки постраждалих та можливість отримати в них допомогу;</w:t>
            </w:r>
          </w:p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доступ до правосуддя для постраждалих від сексуального </w:t>
            </w:r>
            <w:r>
              <w:rPr>
                <w:color w:val="000000"/>
              </w:rPr>
              <w:lastRenderedPageBreak/>
              <w:t>насильства, пов’язаного зі збройною а</w:t>
            </w:r>
            <w:r>
              <w:rPr>
                <w:color w:val="000000"/>
              </w:rPr>
              <w:t xml:space="preserve">гресією, зокрема надання постраждалим інформації про їхні права, про те, як звернутися до   правоохоронних органів, суду, отримати юридичну консультацію, скористатися послугами юридичного представництва </w:t>
            </w:r>
          </w:p>
        </w:tc>
        <w:tc>
          <w:tcPr>
            <w:tcW w:w="3750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lastRenderedPageBreak/>
              <w:t>Управління міжнародного співробітництва, економічног</w:t>
            </w:r>
            <w:r>
              <w:rPr>
                <w:color w:val="000000"/>
              </w:rPr>
              <w:t>о аналізу та стратегічних комунікацій виконавчого комітету Боярської міської ради</w:t>
            </w:r>
            <w:r>
              <w:t>;</w:t>
            </w:r>
          </w:p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t>громадські об’єднання та міжнародні організації (за згодою)</w:t>
            </w:r>
          </w:p>
        </w:tc>
        <w:tc>
          <w:tcPr>
            <w:tcW w:w="3540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3" w:hanging="2"/>
              <w:rPr>
                <w:color w:val="000000"/>
              </w:rPr>
            </w:pPr>
            <w:r>
              <w:rPr>
                <w:color w:val="000000"/>
              </w:rPr>
              <w:t>проведено вибіркове опитування населення щодо обізнаності з питань ідентифікації сексуального насильства, пов’язаного зі збройною агресією, та його форм, наявних спеціалізованих служб підтримки постраждалих осіб (з розподілом за формами та статтю, віком, м</w:t>
            </w:r>
            <w:r>
              <w:rPr>
                <w:color w:val="000000"/>
              </w:rPr>
              <w:t>ісцем проживання);</w:t>
            </w:r>
          </w:p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3" w:hanging="2"/>
              <w:rPr>
                <w:color w:val="000000"/>
              </w:rPr>
            </w:pPr>
          </w:p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3" w:hanging="2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підготовлено аналітичний звіт щодо кількості звернень від постраждалих від сексуального насильства, пов’язаного зі збройною агресією, які надійшли до спеціалізованих служб </w:t>
            </w:r>
            <w:r>
              <w:rPr>
                <w:color w:val="000000"/>
              </w:rPr>
              <w:lastRenderedPageBreak/>
              <w:t>підтримки, кількості звернень постраждалих від сексуального наси</w:t>
            </w:r>
            <w:r>
              <w:rPr>
                <w:color w:val="000000"/>
              </w:rPr>
              <w:t>льства, пов’язаного зі збройною агресією, до суду, ЦНБПД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4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2026–2030</w:t>
            </w:r>
          </w:p>
        </w:tc>
      </w:tr>
      <w:tr w:rsidR="00E4230A">
        <w:trPr>
          <w:cantSplit/>
        </w:trPr>
        <w:tc>
          <w:tcPr>
            <w:tcW w:w="1980" w:type="dxa"/>
            <w:vMerge w:val="restart"/>
          </w:tcPr>
          <w:p w:rsidR="00E4230A" w:rsidRDefault="00C05D9D" w:rsidP="006A4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  <w:r>
              <w:t>9</w:t>
            </w:r>
            <w:r>
              <w:rPr>
                <w:color w:val="000000"/>
              </w:rPr>
              <w:t>. Підвищення обізнаності українців та українок про запроваджений механізм надання репарацій постраждалим від сексуального насильства, пов’язаного зі збройною агресією та Реєстр збитків, завданих агресією Російської Федерації проти України</w:t>
            </w:r>
          </w:p>
        </w:tc>
        <w:tc>
          <w:tcPr>
            <w:tcW w:w="4185" w:type="dxa"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3750" w:type="dxa"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</w:p>
        </w:tc>
        <w:tc>
          <w:tcPr>
            <w:tcW w:w="3540" w:type="dxa"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</w:p>
        </w:tc>
        <w:tc>
          <w:tcPr>
            <w:tcW w:w="1380" w:type="dxa"/>
          </w:tcPr>
          <w:p w:rsidR="00E4230A" w:rsidRDefault="00E42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5" w:hanging="2"/>
              <w:jc w:val="center"/>
              <w:rPr>
                <w:color w:val="000000"/>
              </w:rPr>
            </w:pPr>
          </w:p>
        </w:tc>
      </w:tr>
      <w:tr w:rsidR="00E4230A">
        <w:trPr>
          <w:cantSplit/>
        </w:trPr>
        <w:tc>
          <w:tcPr>
            <w:tcW w:w="1980" w:type="dxa"/>
            <w:vMerge/>
          </w:tcPr>
          <w:p w:rsidR="00E4230A" w:rsidRDefault="00E42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4185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2)поширення інформаційних матеріалів про механізми відшкодування збитків та репарацій постраждалим від сексуального насильства, пов’язаного зі збройною агресією,  серед надавачів послуг із запобігання та протидії сексуальному насильству, пов’язаному зі збр</w:t>
            </w:r>
            <w:r>
              <w:rPr>
                <w:color w:val="000000"/>
              </w:rPr>
              <w:t>ойною агресією, на національному та місцевому рівнях</w:t>
            </w:r>
            <w:bookmarkStart w:id="0" w:name="_GoBack"/>
            <w:bookmarkEnd w:id="0"/>
          </w:p>
        </w:tc>
        <w:tc>
          <w:tcPr>
            <w:tcW w:w="3750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t>Управління міжнародного співробітництва, економічного аналізу та стратегічних комунікацій виконавчого комітету Боярської міської ради</w:t>
            </w:r>
            <w:r>
              <w:t>;</w:t>
            </w:r>
          </w:p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t>громадські об’єднання та міжнародні організації (за згодою)</w:t>
            </w:r>
          </w:p>
        </w:tc>
        <w:tc>
          <w:tcPr>
            <w:tcW w:w="3540" w:type="dxa"/>
          </w:tcPr>
          <w:p w:rsidR="00E4230A" w:rsidRDefault="00C05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ind w:left="0" w:right="-111" w:hanging="2"/>
              <w:rPr>
                <w:color w:val="000000"/>
              </w:rPr>
            </w:pPr>
            <w:r>
              <w:rPr>
                <w:color w:val="000000"/>
              </w:rPr>
              <w:t>частка фахівців надавачів послуг постраждалим від сексуального насильства, пов’язаного зі збройною агресією, які знають про механізм репарацій постраждалим від сексуального насильства, пов’язаного зі збройною агресією (з розподілом за спеціалізацією, відом</w:t>
            </w:r>
            <w:r>
              <w:rPr>
                <w:color w:val="000000"/>
              </w:rPr>
              <w:t>ством, місцезнаходженням)</w:t>
            </w:r>
          </w:p>
        </w:tc>
        <w:tc>
          <w:tcPr>
            <w:tcW w:w="1380" w:type="dxa"/>
          </w:tcPr>
          <w:p w:rsidR="00E4230A" w:rsidRDefault="00C05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5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2026–2030</w:t>
            </w:r>
          </w:p>
        </w:tc>
      </w:tr>
    </w:tbl>
    <w:p w:rsidR="00E4230A" w:rsidRDefault="00E4230A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40" w:lineRule="auto"/>
        <w:ind w:left="1" w:hanging="3"/>
        <w:rPr>
          <w:color w:val="000000"/>
          <w:sz w:val="28"/>
          <w:szCs w:val="28"/>
        </w:rPr>
      </w:pPr>
    </w:p>
    <w:p w:rsidR="00E4230A" w:rsidRDefault="00E4230A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E4230A" w:rsidRDefault="00E4230A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E4230A" w:rsidRDefault="00E423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sectPr w:rsidR="00E4230A">
      <w:headerReference w:type="even" r:id="rId7"/>
      <w:headerReference w:type="default" r:id="rId8"/>
      <w:pgSz w:w="16838" w:h="11906" w:orient="landscape"/>
      <w:pgMar w:top="709" w:right="680" w:bottom="567" w:left="85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D9D" w:rsidRDefault="00C05D9D">
      <w:pPr>
        <w:spacing w:line="240" w:lineRule="auto"/>
        <w:ind w:left="0" w:hanging="2"/>
      </w:pPr>
      <w:r>
        <w:separator/>
      </w:r>
    </w:p>
  </w:endnote>
  <w:endnote w:type="continuationSeparator" w:id="0">
    <w:p w:rsidR="00C05D9D" w:rsidRDefault="00C05D9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Bold r:id="rId1" w:fontKey="{D86B1B0D-0DB0-4465-AB05-7836FA204467}"/>
    <w:embedBoldItalic r:id="rId2" w:fontKey="{66539ADD-4B5B-4471-AFA3-BB712C359B1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D1FD5877-6BA8-400B-8A71-FDD88B58E8CD}"/>
    <w:embedBoldItalic r:id="rId4" w:fontKey="{509A047E-DCF0-4B2D-A224-C3C58AE3930D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5" w:fontKey="{BFEA6477-89A4-4F3D-93A2-74F022FD492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791029A6-E628-4962-8620-D89CE3BC58F9}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Bold r:id="rId7" w:fontKey="{7EF5C7A2-71AE-4273-A331-76A6210B395A}"/>
  </w:font>
  <w:font w:name="Antiqu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  <w:embedRegular r:id="rId8" w:fontKey="{CBC8AB4B-3EDB-47A9-806F-EC9E84E22B9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9" w:fontKey="{24F9ADC8-B728-4CE0-B04F-B8F7155C695E}"/>
  </w:font>
  <w:font w:name="Helvetica Neue">
    <w:charset w:val="00"/>
    <w:family w:val="auto"/>
    <w:pitch w:val="default"/>
    <w:embedRegular r:id="rId10" w:fontKey="{CCBF32F8-A9CC-42AC-B4E4-569E50FC1AF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099BA8F4-E2DF-4CE5-A1A2-E38601A042C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D9D" w:rsidRDefault="00C05D9D">
      <w:pPr>
        <w:spacing w:line="240" w:lineRule="auto"/>
        <w:ind w:left="0" w:hanging="2"/>
      </w:pPr>
      <w:r>
        <w:separator/>
      </w:r>
    </w:p>
  </w:footnote>
  <w:footnote w:type="continuationSeparator" w:id="0">
    <w:p w:rsidR="00C05D9D" w:rsidRDefault="00C05D9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30A" w:rsidRDefault="00C05D9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E4230A" w:rsidRDefault="00E4230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30A" w:rsidRDefault="00C05D9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1007DA">
      <w:rPr>
        <w:color w:val="000000"/>
      </w:rPr>
      <w:fldChar w:fldCharType="separate"/>
    </w:r>
    <w:r w:rsidR="006A410C">
      <w:rPr>
        <w:noProof/>
        <w:color w:val="000000"/>
      </w:rPr>
      <w:t>2</w:t>
    </w:r>
    <w:r>
      <w:rPr>
        <w:color w:val="000000"/>
      </w:rPr>
      <w:fldChar w:fldCharType="end"/>
    </w:r>
  </w:p>
  <w:p w:rsidR="00E4230A" w:rsidRDefault="00E4230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30A"/>
    <w:rsid w:val="001007DA"/>
    <w:rsid w:val="006A410C"/>
    <w:rsid w:val="00C05D9D"/>
    <w:rsid w:val="00E42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CF787"/>
  <w15:docId w15:val="{F969336B-18E1-467E-A0DC-90918578D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uk-UA" w:eastAsia="ja-JP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pPr>
      <w:spacing w:before="100" w:beforeAutospacing="1" w:after="100" w:afterAutospacing="1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pPr>
      <w:autoSpaceDE w:val="0"/>
      <w:autoSpaceDN w:val="0"/>
      <w:jc w:val="center"/>
    </w:pPr>
    <w:rPr>
      <w:b/>
      <w:bCs/>
      <w:sz w:val="28"/>
      <w:szCs w:val="28"/>
    </w:rPr>
  </w:style>
  <w:style w:type="character" w:customStyle="1" w:styleId="20">
    <w:name w:val="Основной шрифт абзаца;Çíàê Çíàê2"/>
    <w:rPr>
      <w:w w:val="100"/>
      <w:position w:val="-1"/>
      <w:effect w:val="none"/>
      <w:vertAlign w:val="baseline"/>
      <w:cs w:val="0"/>
      <w:em w:val="none"/>
    </w:rPr>
  </w:style>
  <w:style w:type="character" w:customStyle="1" w:styleId="21">
    <w:name w:val="Заголовок 2 Знак"/>
    <w:rPr>
      <w:rFonts w:ascii="Calibri Light" w:hAnsi="Calibri Light" w:cs="Times New Roman"/>
      <w:b/>
      <w:i/>
      <w:w w:val="100"/>
      <w:position w:val="-1"/>
      <w:sz w:val="28"/>
      <w:effect w:val="none"/>
      <w:vertAlign w:val="baseline"/>
      <w:cs w:val="0"/>
      <w:em w:val="none"/>
      <w:lang w:eastAsia="ja-JP"/>
    </w:rPr>
  </w:style>
  <w:style w:type="character" w:customStyle="1" w:styleId="30">
    <w:name w:val="Заголовок 3 Знак"/>
    <w:rPr>
      <w:rFonts w:ascii="Calibri Light" w:hAnsi="Calibri Light" w:cs="Times New Roman"/>
      <w:b/>
      <w:w w:val="100"/>
      <w:position w:val="-1"/>
      <w:sz w:val="26"/>
      <w:effect w:val="none"/>
      <w:vertAlign w:val="baseline"/>
      <w:cs w:val="0"/>
      <w:em w:val="none"/>
      <w:lang w:eastAsia="ja-JP"/>
    </w:rPr>
  </w:style>
  <w:style w:type="character" w:customStyle="1" w:styleId="50">
    <w:name w:val="Заголовок 5 Знак"/>
    <w:rPr>
      <w:rFonts w:ascii="Calibri" w:hAnsi="Calibri" w:cs="Times New Roman"/>
      <w:b/>
      <w:i/>
      <w:w w:val="100"/>
      <w:position w:val="-1"/>
      <w:sz w:val="26"/>
      <w:effect w:val="none"/>
      <w:vertAlign w:val="baseline"/>
      <w:cs w:val="0"/>
      <w:em w:val="none"/>
      <w:lang w:eastAsia="ja-JP"/>
    </w:rPr>
  </w:style>
  <w:style w:type="character" w:styleId="a4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vts6">
    <w:name w:val="rvts6"/>
    <w:rPr>
      <w:rFonts w:ascii="Times New Roman" w:hAnsi="Times New Roman"/>
      <w:w w:val="100"/>
      <w:position w:val="-1"/>
      <w:sz w:val="28"/>
      <w:effect w:val="none"/>
      <w:vertAlign w:val="baseline"/>
      <w:cs w:val="0"/>
      <w:em w:val="none"/>
    </w:rPr>
  </w:style>
  <w:style w:type="paragraph" w:customStyle="1" w:styleId="10">
    <w:name w:val="Çíàê1 Çíàê Çíàê Çíàê"/>
    <w:basedOn w:val="a"/>
    <w:rPr>
      <w:rFonts w:ascii="Verdana" w:hAnsi="Verdana" w:cs="Verdana"/>
      <w:sz w:val="20"/>
      <w:szCs w:val="20"/>
      <w:lang w:val="en-US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ru-RU"/>
    </w:rPr>
  </w:style>
  <w:style w:type="character" w:customStyle="1" w:styleId="HTML0">
    <w:name w:val="Стандартный HTML Знак"/>
    <w:rPr>
      <w:rFonts w:ascii="Courier New" w:hAnsi="Courier New" w:cs="Times New Roman"/>
      <w:w w:val="100"/>
      <w:position w:val="-1"/>
      <w:effect w:val="none"/>
      <w:vertAlign w:val="baseline"/>
      <w:cs w:val="0"/>
      <w:em w:val="none"/>
      <w:lang w:val="ru-RU" w:eastAsia="ru-RU"/>
    </w:rPr>
  </w:style>
  <w:style w:type="character" w:styleId="a5">
    <w:name w:val="annotation reference"/>
    <w:qFormat/>
    <w:rPr>
      <w:w w:val="100"/>
      <w:position w:val="-1"/>
      <w:sz w:val="16"/>
      <w:effect w:val="none"/>
      <w:vertAlign w:val="baseline"/>
      <w:cs w:val="0"/>
      <w:em w:val="none"/>
    </w:rPr>
  </w:style>
  <w:style w:type="paragraph" w:styleId="a6">
    <w:name w:val="annotation text"/>
    <w:basedOn w:val="a"/>
    <w:qFormat/>
    <w:pPr>
      <w:spacing w:after="200" w:line="276" w:lineRule="auto"/>
    </w:pPr>
    <w:rPr>
      <w:rFonts w:ascii="Calibri" w:hAnsi="Calibri"/>
      <w:sz w:val="20"/>
      <w:szCs w:val="20"/>
      <w:lang w:val="ru-RU"/>
    </w:rPr>
  </w:style>
  <w:style w:type="character" w:customStyle="1" w:styleId="a7">
    <w:name w:val="Текст примечания Знак"/>
    <w:rPr>
      <w:rFonts w:ascii="Calibri" w:hAnsi="Calibri" w:cs="Times New Roman"/>
      <w:w w:val="100"/>
      <w:position w:val="-1"/>
      <w:effect w:val="none"/>
      <w:vertAlign w:val="baseline"/>
      <w:cs w:val="0"/>
      <w:em w:val="none"/>
      <w:lang w:val="ru-RU" w:eastAsia="en-US"/>
    </w:rPr>
  </w:style>
  <w:style w:type="paragraph" w:customStyle="1" w:styleId="121111111">
    <w:name w:val="Обычный (веб);Îáû÷íûé (âåá) Çíàê;Çíàê1 Çíàê;Îáû÷íûé (âåá) Çíàê2;Îáû÷íûé (âåá) Çíàê1 Çíàê;Çíàê Çíàê1 Çíàê;Îáû÷íûé (âåá) Çíàê Çíàê Çíàê;Çíàê1 Çíàê1 Çíàê;Îáû÷íûé (âåá) Çíàê Çíàê1;Çíàê1 Çíàê Çíàê1 Çíàê"/>
    <w:basedOn w:val="a"/>
    <w:qFormat/>
    <w:pPr>
      <w:spacing w:before="100" w:beforeAutospacing="1" w:after="100" w:afterAutospacing="1"/>
    </w:pPr>
  </w:style>
  <w:style w:type="paragraph" w:styleId="a8">
    <w:name w:val="Balloon Text"/>
    <w:basedOn w:val="a"/>
    <w:rPr>
      <w:rFonts w:ascii="Segoe UI" w:hAnsi="Segoe UI"/>
      <w:sz w:val="18"/>
      <w:szCs w:val="18"/>
    </w:rPr>
  </w:style>
  <w:style w:type="character" w:customStyle="1" w:styleId="a9">
    <w:name w:val="Текст выноски Знак"/>
    <w:rPr>
      <w:rFonts w:ascii="Segoe UI" w:hAnsi="Segoe UI" w:cs="Times New Roman"/>
      <w:w w:val="100"/>
      <w:position w:val="-1"/>
      <w:sz w:val="18"/>
      <w:effect w:val="none"/>
      <w:vertAlign w:val="baseline"/>
      <w:cs w:val="0"/>
      <w:em w:val="none"/>
      <w:lang w:eastAsia="ja-JP"/>
    </w:rPr>
  </w:style>
  <w:style w:type="character" w:customStyle="1" w:styleId="spelle">
    <w:name w:val="spelle"/>
    <w:rPr>
      <w:w w:val="100"/>
      <w:position w:val="-1"/>
      <w:effect w:val="none"/>
      <w:vertAlign w:val="baseline"/>
      <w:cs w:val="0"/>
      <w:em w:val="none"/>
    </w:rPr>
  </w:style>
  <w:style w:type="paragraph" w:customStyle="1" w:styleId="Style">
    <w:name w:val="Style"/>
    <w:basedOn w:val="a"/>
    <w:rPr>
      <w:rFonts w:ascii="Verdana" w:hAnsi="Verdana" w:cs="Verdana"/>
      <w:color w:val="000000"/>
      <w:sz w:val="20"/>
      <w:szCs w:val="20"/>
      <w:lang w:val="en-US"/>
    </w:r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rPr>
      <w:w w:val="100"/>
      <w:position w:val="-1"/>
      <w:sz w:val="24"/>
      <w:effect w:val="none"/>
      <w:vertAlign w:val="baseline"/>
      <w:cs w:val="0"/>
      <w:em w:val="none"/>
      <w:lang w:eastAsia="ja-JP"/>
    </w:rPr>
  </w:style>
  <w:style w:type="character" w:styleId="ac">
    <w:name w:val="page number"/>
    <w:rPr>
      <w:w w:val="100"/>
      <w:position w:val="-1"/>
      <w:effect w:val="none"/>
      <w:vertAlign w:val="baseline"/>
      <w:cs w:val="0"/>
      <w:em w:val="none"/>
    </w:rPr>
  </w:style>
  <w:style w:type="paragraph" w:customStyle="1" w:styleId="ad">
    <w:name w:val="Çíàê"/>
    <w:basedOn w:val="a"/>
    <w:rPr>
      <w:rFonts w:ascii="Verdana" w:hAnsi="Verdana" w:cs="Verdana"/>
      <w:sz w:val="20"/>
      <w:szCs w:val="20"/>
      <w:lang w:val="en-US"/>
    </w:rPr>
  </w:style>
  <w:style w:type="paragraph" w:customStyle="1" w:styleId="xfmc1">
    <w:name w:val="xfmc1"/>
    <w:basedOn w:val="a"/>
    <w:pPr>
      <w:spacing w:before="100" w:beforeAutospacing="1" w:after="100" w:afterAutospacing="1"/>
    </w:pPr>
    <w:rPr>
      <w:lang w:val="ru-RU"/>
    </w:rPr>
  </w:style>
  <w:style w:type="character" w:customStyle="1" w:styleId="st">
    <w:name w:val="st"/>
    <w:rPr>
      <w:w w:val="100"/>
      <w:position w:val="-1"/>
      <w:effect w:val="none"/>
      <w:vertAlign w:val="baseline"/>
      <w:cs w:val="0"/>
      <w:em w:val="none"/>
    </w:rPr>
  </w:style>
  <w:style w:type="character" w:styleId="ae">
    <w:name w:val="Emphasis"/>
    <w:rPr>
      <w:i/>
      <w:w w:val="100"/>
      <w:position w:val="-1"/>
      <w:effect w:val="none"/>
      <w:vertAlign w:val="baseline"/>
      <w:cs w:val="0"/>
      <w:em w:val="none"/>
    </w:rPr>
  </w:style>
  <w:style w:type="character" w:customStyle="1" w:styleId="rvts0">
    <w:name w:val="rvts0"/>
    <w:rPr>
      <w:w w:val="100"/>
      <w:position w:val="-1"/>
      <w:effect w:val="none"/>
      <w:vertAlign w:val="baseline"/>
      <w:cs w:val="0"/>
      <w:em w:val="none"/>
    </w:rPr>
  </w:style>
  <w:style w:type="character" w:customStyle="1" w:styleId="xfm42876546">
    <w:name w:val="xfm_42876546"/>
    <w:rPr>
      <w:w w:val="100"/>
      <w:position w:val="-1"/>
      <w:effect w:val="none"/>
      <w:vertAlign w:val="baseline"/>
      <w:cs w:val="0"/>
      <w:em w:val="none"/>
    </w:rPr>
  </w:style>
  <w:style w:type="paragraph" w:customStyle="1" w:styleId="11">
    <w:name w:val="Çíàê1"/>
    <w:basedOn w:val="a"/>
    <w:rPr>
      <w:rFonts w:ascii="Verdana" w:hAnsi="Verdana" w:cs="Verdana"/>
      <w:sz w:val="20"/>
      <w:szCs w:val="20"/>
      <w:lang w:val="en-US"/>
    </w:rPr>
  </w:style>
  <w:style w:type="character" w:styleId="af">
    <w:name w:val="Strong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af0">
    <w:name w:val="Çíàê Çíàê"/>
    <w:rPr>
      <w:rFonts w:ascii="Courier New" w:hAnsi="Courier New"/>
      <w:w w:val="100"/>
      <w:position w:val="-1"/>
      <w:effect w:val="none"/>
      <w:vertAlign w:val="baseline"/>
      <w:cs w:val="0"/>
      <w:em w:val="none"/>
      <w:lang w:val="ru-RU" w:eastAsia="ru-RU"/>
    </w:rPr>
  </w:style>
  <w:style w:type="character" w:customStyle="1" w:styleId="hps">
    <w:name w:val="hps"/>
    <w:rPr>
      <w:w w:val="100"/>
      <w:position w:val="-1"/>
      <w:effect w:val="none"/>
      <w:vertAlign w:val="baseline"/>
      <w:cs w:val="0"/>
      <w:em w:val="none"/>
    </w:rPr>
  </w:style>
  <w:style w:type="table" w:styleId="af1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atn">
    <w:name w:val="hps atn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Style11">
    <w:name w:val="Font Style11"/>
    <w:rPr>
      <w:rFonts w:ascii="Lucida Sans Unicode" w:hAnsi="Lucida Sans Unicode"/>
      <w:b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paragraph" w:customStyle="1" w:styleId="Style8">
    <w:name w:val="Style8"/>
    <w:basedOn w:val="a"/>
    <w:pPr>
      <w:widowControl w:val="0"/>
      <w:autoSpaceDE w:val="0"/>
      <w:autoSpaceDN w:val="0"/>
      <w:adjustRightInd w:val="0"/>
      <w:spacing w:line="230" w:lineRule="atLeast"/>
    </w:pPr>
    <w:rPr>
      <w:rFonts w:ascii="Calibri" w:hAnsi="Calibri"/>
      <w:lang w:val="ru-RU"/>
    </w:rPr>
  </w:style>
  <w:style w:type="paragraph" w:styleId="af2">
    <w:name w:val="footer"/>
    <w:basedOn w:val="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rPr>
      <w:w w:val="100"/>
      <w:position w:val="-1"/>
      <w:sz w:val="24"/>
      <w:effect w:val="none"/>
      <w:vertAlign w:val="baseline"/>
      <w:cs w:val="0"/>
      <w:em w:val="none"/>
      <w:lang w:eastAsia="ja-JP"/>
    </w:rPr>
  </w:style>
  <w:style w:type="paragraph" w:customStyle="1" w:styleId="CharChar">
    <w:name w:val="Char Çíàê Çíàê Char Çíàê Çíàê Çíàê Çíàê Çíàê Çíàê Çíàê Çíàê Çíàê Çíàê Çíàê Çíàê Çíàê"/>
    <w:basedOn w:val="a"/>
    <w:rPr>
      <w:rFonts w:ascii="Verdana" w:hAnsi="Verdana" w:cs="Verdana"/>
      <w:sz w:val="20"/>
      <w:szCs w:val="20"/>
      <w:lang w:val="en-US"/>
    </w:rPr>
  </w:style>
  <w:style w:type="paragraph" w:customStyle="1" w:styleId="ListParagraph113112ListParagraph2111RecommendatioPrrafodelistaOBCBulletListParagraphCharCharCharIndicatorTextColorfulList-Accent11">
    <w:name w:val="Абзац списка;ïðîñòî;List Paragraph1;Àáçàö ñïèñêà1;Àáçàö ñïèñêà3;Àáçàö ñïèñêà11;Àáçàö ñïèñêà2;List Paragraph2;Àáçàö ñïèñêà111;Recommendatio;Párrafo de lista;OBC Bullet;List Paragraph Char Char Char;Indicator Text;Colorful List - Accent 11"/>
    <w:basedOn w:val="a"/>
    <w:pPr>
      <w:ind w:left="708"/>
    </w:pPr>
  </w:style>
  <w:style w:type="character" w:customStyle="1" w:styleId="rvts52">
    <w:name w:val="rvts52"/>
    <w:rPr>
      <w:w w:val="100"/>
      <w:position w:val="-1"/>
      <w:effect w:val="none"/>
      <w:vertAlign w:val="baseline"/>
      <w:cs w:val="0"/>
      <w:em w:val="none"/>
    </w:rPr>
  </w:style>
  <w:style w:type="paragraph" w:customStyle="1" w:styleId="rvps2">
    <w:name w:val="rvps2"/>
    <w:basedOn w:val="a"/>
    <w:pPr>
      <w:spacing w:before="100" w:beforeAutospacing="1" w:after="100" w:afterAutospacing="1"/>
    </w:pPr>
  </w:style>
  <w:style w:type="character" w:customStyle="1" w:styleId="dat">
    <w:name w:val="dat"/>
    <w:rPr>
      <w:w w:val="100"/>
      <w:position w:val="-1"/>
      <w:effect w:val="none"/>
      <w:vertAlign w:val="baseline"/>
      <w:cs w:val="0"/>
      <w:em w:val="none"/>
    </w:rPr>
  </w:style>
  <w:style w:type="character" w:customStyle="1" w:styleId="rvts23">
    <w:name w:val="rvts23"/>
    <w:rPr>
      <w:w w:val="100"/>
      <w:position w:val="-1"/>
      <w:effect w:val="none"/>
      <w:vertAlign w:val="baseline"/>
      <w:cs w:val="0"/>
      <w:em w:val="none"/>
    </w:rPr>
  </w:style>
  <w:style w:type="paragraph" w:styleId="22">
    <w:name w:val="Body Text 2"/>
    <w:basedOn w:val="a"/>
    <w:pPr>
      <w:jc w:val="both"/>
    </w:pPr>
    <w:rPr>
      <w:sz w:val="26"/>
      <w:szCs w:val="20"/>
      <w:lang w:val="ru-RU"/>
    </w:rPr>
  </w:style>
  <w:style w:type="character" w:customStyle="1" w:styleId="23">
    <w:name w:val="Основной текст 2 Знак"/>
    <w:rPr>
      <w:w w:val="100"/>
      <w:position w:val="-1"/>
      <w:sz w:val="26"/>
      <w:effect w:val="none"/>
      <w:vertAlign w:val="baseline"/>
      <w:cs w:val="0"/>
      <w:em w:val="none"/>
      <w:lang w:val="ru-RU" w:eastAsia="ru-RU"/>
    </w:rPr>
  </w:style>
  <w:style w:type="paragraph" w:styleId="af4">
    <w:name w:val="Body Text"/>
    <w:basedOn w:val="a"/>
    <w:pPr>
      <w:spacing w:after="120"/>
    </w:pPr>
    <w:rPr>
      <w:lang w:val="ru-RU"/>
    </w:rPr>
  </w:style>
  <w:style w:type="character" w:customStyle="1" w:styleId="af5">
    <w:name w:val="Основной текст Знак"/>
    <w:rPr>
      <w:w w:val="100"/>
      <w:position w:val="-1"/>
      <w:sz w:val="24"/>
      <w:effect w:val="none"/>
      <w:vertAlign w:val="baseline"/>
      <w:cs w:val="0"/>
      <w:em w:val="none"/>
      <w:lang w:val="ru-RU" w:eastAsia="ru-RU"/>
    </w:rPr>
  </w:style>
  <w:style w:type="character" w:customStyle="1" w:styleId="rvts82">
    <w:name w:val="rvts82"/>
    <w:rPr>
      <w:w w:val="100"/>
      <w:position w:val="-1"/>
      <w:effect w:val="none"/>
      <w:vertAlign w:val="baseline"/>
      <w:cs w:val="0"/>
      <w:em w:val="none"/>
    </w:rPr>
  </w:style>
  <w:style w:type="paragraph" w:customStyle="1" w:styleId="rvps14">
    <w:name w:val="rvps14"/>
    <w:basedOn w:val="a"/>
    <w:pPr>
      <w:spacing w:before="100" w:beforeAutospacing="1" w:after="100" w:afterAutospacing="1"/>
    </w:pPr>
    <w:rPr>
      <w:lang w:val="ru-RU"/>
    </w:rPr>
  </w:style>
  <w:style w:type="character" w:customStyle="1" w:styleId="xfm57915877">
    <w:name w:val="xfm_57915877"/>
    <w:rPr>
      <w:w w:val="100"/>
      <w:position w:val="-1"/>
      <w:effect w:val="none"/>
      <w:vertAlign w:val="baseline"/>
      <w:cs w:val="0"/>
      <w:em w:val="none"/>
    </w:rPr>
  </w:style>
  <w:style w:type="paragraph" w:customStyle="1" w:styleId="24">
    <w:name w:val="Çíàê2"/>
    <w:basedOn w:val="a"/>
    <w:rPr>
      <w:rFonts w:ascii="Verdana" w:hAnsi="Verdana" w:cs="Verdana"/>
      <w:sz w:val="20"/>
      <w:szCs w:val="20"/>
      <w:lang w:val="en-US"/>
    </w:rPr>
  </w:style>
  <w:style w:type="paragraph" w:customStyle="1" w:styleId="af6">
    <w:name w:val="Íîðìàëüíèé òåêñò"/>
    <w:basedOn w:val="a"/>
    <w:pPr>
      <w:spacing w:before="120"/>
      <w:ind w:firstLine="567"/>
      <w:jc w:val="both"/>
    </w:pPr>
    <w:rPr>
      <w:rFonts w:ascii="Antiqua"/>
      <w:sz w:val="26"/>
      <w:szCs w:val="26"/>
    </w:rPr>
  </w:style>
  <w:style w:type="character" w:customStyle="1" w:styleId="rvts15">
    <w:name w:val="rvts15"/>
    <w:rPr>
      <w:w w:val="100"/>
      <w:position w:val="-1"/>
      <w:effect w:val="none"/>
      <w:vertAlign w:val="baseline"/>
      <w:cs w:val="0"/>
      <w:em w:val="none"/>
    </w:rPr>
  </w:style>
  <w:style w:type="paragraph" w:customStyle="1" w:styleId="af7">
    <w:name w:val="Çíàê Çíàê Çíàê Çíàê"/>
    <w:basedOn w:val="a"/>
    <w:rPr>
      <w:rFonts w:ascii="Verdana" w:hAnsi="Verdana" w:cs="Verdana"/>
      <w:sz w:val="20"/>
      <w:szCs w:val="20"/>
      <w:lang w:val="en-US"/>
    </w:rPr>
  </w:style>
  <w:style w:type="paragraph" w:customStyle="1" w:styleId="12">
    <w:name w:val="Çíàê Çíàê1 Çíàê Çíàê Çíàê Çíàê"/>
    <w:basedOn w:val="a"/>
    <w:pPr>
      <w:spacing w:after="200"/>
    </w:pPr>
    <w:rPr>
      <w:rFonts w:ascii="Arial" w:hAnsi="Arial" w:cs="Arial"/>
      <w:sz w:val="22"/>
      <w:lang w:val="en-US"/>
    </w:rPr>
  </w:style>
  <w:style w:type="paragraph" w:customStyle="1" w:styleId="af8">
    <w:name w:val="Çíàê Çíàê Çíàê Çíàê Çíàê Çíàê Çíàê"/>
    <w:basedOn w:val="a"/>
    <w:rPr>
      <w:rFonts w:ascii="Verdana" w:hAnsi="Verdana" w:cs="Verdana"/>
      <w:sz w:val="20"/>
      <w:szCs w:val="20"/>
      <w:lang w:val="en-US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customStyle="1" w:styleId="CharChar0">
    <w:name w:val="Char Char Çíàê Çíàê Çíàê"/>
    <w:basedOn w:val="a"/>
    <w:rPr>
      <w:rFonts w:ascii="Verdana" w:hAnsi="Verdana" w:cs="Verdana"/>
      <w:sz w:val="20"/>
      <w:szCs w:val="20"/>
      <w:lang w:val="en-US"/>
    </w:rPr>
  </w:style>
  <w:style w:type="character" w:customStyle="1" w:styleId="af9">
    <w:name w:val="Заголовок Знак"/>
    <w:rPr>
      <w:b/>
      <w:w w:val="100"/>
      <w:position w:val="-1"/>
      <w:sz w:val="28"/>
      <w:effect w:val="none"/>
      <w:vertAlign w:val="baseline"/>
      <w:cs w:val="0"/>
      <w:em w:val="none"/>
      <w:lang w:eastAsia="ru-RU"/>
    </w:rPr>
  </w:style>
  <w:style w:type="paragraph" w:customStyle="1" w:styleId="rvps12">
    <w:name w:val="rvps12"/>
    <w:basedOn w:val="a"/>
    <w:pPr>
      <w:spacing w:before="100" w:beforeAutospacing="1" w:after="100" w:afterAutospacing="1"/>
    </w:pPr>
    <w:rPr>
      <w:lang w:val="ru-RU"/>
    </w:rPr>
  </w:style>
  <w:style w:type="character" w:customStyle="1" w:styleId="rvts9">
    <w:name w:val="rvts9"/>
    <w:rPr>
      <w:w w:val="100"/>
      <w:position w:val="-1"/>
      <w:effect w:val="none"/>
      <w:vertAlign w:val="baseline"/>
      <w:cs w:val="0"/>
      <w:em w:val="none"/>
    </w:rPr>
  </w:style>
  <w:style w:type="paragraph" w:customStyle="1" w:styleId="13">
    <w:name w:val="Çíàê Çíàê1"/>
    <w:basedOn w:val="a"/>
    <w:rPr>
      <w:rFonts w:ascii="Verdana" w:hAnsi="Verdana"/>
      <w:sz w:val="20"/>
      <w:szCs w:val="20"/>
      <w:lang w:val="en-US"/>
    </w:rPr>
  </w:style>
  <w:style w:type="paragraph" w:customStyle="1" w:styleId="afa">
    <w:name w:val="Íàçâà äîêóìåíòà"/>
    <w:basedOn w:val="a"/>
    <w:next w:val="af6"/>
    <w:pPr>
      <w:keepNext/>
      <w:keepLines/>
      <w:spacing w:before="240" w:after="240"/>
      <w:jc w:val="center"/>
    </w:pPr>
    <w:rPr>
      <w:rFonts w:ascii="Antiqua" w:hAnsi="Antiqua"/>
      <w:b/>
      <w:sz w:val="26"/>
      <w:szCs w:val="20"/>
    </w:rPr>
  </w:style>
  <w:style w:type="paragraph" w:customStyle="1" w:styleId="NormalWeb">
    <w:name w:val="&quot;Normal (Web)&quot;"/>
    <w:pPr>
      <w:suppressAutoHyphens/>
      <w:spacing w:before="100" w:beforeAutospacing="1" w:after="100" w:afterAutospacing="1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uk-UA"/>
    </w:rPr>
  </w:style>
  <w:style w:type="character" w:customStyle="1" w:styleId="HTML2">
    <w:name w:val="Ñòàíäàðòíûé HTML Çíàê2"/>
    <w:rPr>
      <w:rFonts w:ascii="Courier New" w:hAnsi="Courier New"/>
      <w:color w:val="000000"/>
      <w:w w:val="100"/>
      <w:position w:val="-1"/>
      <w:sz w:val="21"/>
      <w:effect w:val="none"/>
      <w:vertAlign w:val="baseline"/>
      <w:cs w:val="0"/>
      <w:em w:val="none"/>
      <w:lang w:val="ru-RU" w:eastAsia="ru-RU"/>
    </w:rPr>
  </w:style>
  <w:style w:type="paragraph" w:customStyle="1" w:styleId="rvps7">
    <w:name w:val="rvps7"/>
    <w:basedOn w:val="a"/>
    <w:pPr>
      <w:spacing w:before="100" w:beforeAutospacing="1" w:after="100" w:afterAutospacing="1"/>
    </w:pPr>
  </w:style>
  <w:style w:type="paragraph" w:customStyle="1" w:styleId="rvps6">
    <w:name w:val="rvps6"/>
    <w:basedOn w:val="a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xfmc5">
    <w:name w:val="xfmc5"/>
    <w:basedOn w:val="a"/>
    <w:pPr>
      <w:spacing w:before="100" w:beforeAutospacing="1" w:after="100" w:afterAutospacing="1"/>
    </w:pPr>
  </w:style>
  <w:style w:type="character" w:customStyle="1" w:styleId="xfmc7">
    <w:name w:val="xfmc7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style01">
    <w:name w:val="fontstyle01"/>
    <w:rPr>
      <w:rFonts w:ascii="TimesNewRomanPSMT" w:hAnsi="TimesNewRomanPSMT"/>
      <w:color w:val="000000"/>
      <w:w w:val="100"/>
      <w:position w:val="-1"/>
      <w:sz w:val="28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ru-RU" w:eastAsia="ru-RU"/>
    </w:rPr>
  </w:style>
  <w:style w:type="character" w:customStyle="1" w:styleId="afb">
    <w:name w:val="Íîðìàëüíèé òåêñò Çíàê"/>
    <w:rPr>
      <w:rFonts w:ascii="Antiqua" w:eastAsia="Times New Roman"/>
      <w:w w:val="100"/>
      <w:position w:val="-1"/>
      <w:sz w:val="26"/>
      <w:effect w:val="none"/>
      <w:vertAlign w:val="baseline"/>
      <w:cs w:val="0"/>
      <w:em w:val="none"/>
      <w:lang w:eastAsia="ru-RU"/>
    </w:rPr>
  </w:style>
  <w:style w:type="character" w:customStyle="1" w:styleId="q4iawc">
    <w:name w:val="q4iawc"/>
    <w:rPr>
      <w:w w:val="100"/>
      <w:position w:val="-1"/>
      <w:effect w:val="none"/>
      <w:vertAlign w:val="baseline"/>
      <w:cs w:val="0"/>
      <w:em w:val="none"/>
    </w:rPr>
  </w:style>
  <w:style w:type="character" w:customStyle="1" w:styleId="rvts96">
    <w:name w:val="rvts96"/>
    <w:rPr>
      <w:w w:val="100"/>
      <w:position w:val="-1"/>
      <w:effect w:val="none"/>
      <w:vertAlign w:val="baseline"/>
      <w:cs w:val="0"/>
      <w:em w:val="none"/>
    </w:rPr>
  </w:style>
  <w:style w:type="character" w:customStyle="1" w:styleId="xfm23318351">
    <w:name w:val="xfm_23318351"/>
    <w:rPr>
      <w:w w:val="100"/>
      <w:position w:val="-1"/>
      <w:effect w:val="none"/>
      <w:vertAlign w:val="baseline"/>
      <w:cs w:val="0"/>
      <w:em w:val="none"/>
    </w:rPr>
  </w:style>
  <w:style w:type="character" w:customStyle="1" w:styleId="1211111110">
    <w:name w:val="Обычный (веб) Знак;Îáû÷íûé (âåá) Çíàê Знак;Çíàê1 Çíàê Знак;Îáû÷íûé (âåá) Çíàê2 Знак;Îáû÷íûé (âåá) Çíàê1 Çíàê Знак;Çíàê Çíàê1 Çíàê Знак;Îáû÷íûé (âåá) Çíàê Çíàê Çíàê Знак;Çíàê1 Çíàê1 Çíàê Знак;Îáû÷íûé (âåá) Çíàê Çíàê1 Знак;Çíàê1 Çíàê Çíàê1 Çíàê Знак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xfm47927365">
    <w:name w:val="xfm_47927365"/>
    <w:rPr>
      <w:w w:val="100"/>
      <w:position w:val="-1"/>
      <w:effect w:val="none"/>
      <w:vertAlign w:val="baseline"/>
      <w:cs w:val="0"/>
      <w:em w:val="none"/>
    </w:rPr>
  </w:style>
  <w:style w:type="character" w:customStyle="1" w:styleId="xfm19967375">
    <w:name w:val="xfm_19967375"/>
    <w:rPr>
      <w:w w:val="100"/>
      <w:position w:val="-1"/>
      <w:effect w:val="none"/>
      <w:vertAlign w:val="baseline"/>
      <w:cs w:val="0"/>
      <w:em w:val="none"/>
    </w:rPr>
  </w:style>
  <w:style w:type="character" w:customStyle="1" w:styleId="xfm65929198">
    <w:name w:val="xfm_65929198"/>
    <w:rPr>
      <w:w w:val="100"/>
      <w:position w:val="-1"/>
      <w:effect w:val="none"/>
      <w:vertAlign w:val="baseline"/>
      <w:cs w:val="0"/>
      <w:em w:val="none"/>
    </w:rPr>
  </w:style>
  <w:style w:type="character" w:customStyle="1" w:styleId="tlid-translation">
    <w:name w:val="tlid-translation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Paragraph113112ListParagraph2111RecommendatioPrrafodelistaOBCBulletIndicatorText">
    <w:name w:val="Абзац списка Знак;ïðîñòî Знак;List Paragraph1 Знак;Àáçàö ñïèñêà1 Знак;Àáçàö ñïèñêà3 Знак;Àáçàö ñïèñêà11 Знак;Àáçàö ñïèñêà2 Знак;List Paragraph2 Знак;Àáçàö ñïèñêà111 Знак;Recommendatio Знак;Párrafo de lista Знак;OBC Bullet Знак;Indicator Text Знак"/>
    <w:rPr>
      <w:w w:val="100"/>
      <w:position w:val="-1"/>
      <w:sz w:val="24"/>
      <w:effect w:val="none"/>
      <w:vertAlign w:val="baseline"/>
      <w:cs w:val="0"/>
      <w:em w:val="none"/>
      <w:lang w:val="uk-UA" w:eastAsia="ja-JP"/>
    </w:rPr>
  </w:style>
  <w:style w:type="character" w:customStyle="1" w:styleId="markedcontent">
    <w:name w:val="markedconten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5">
    <w:name w:val="WW8Num9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6">
    <w:name w:val="WW8Num5z6"/>
    <w:rPr>
      <w:w w:val="100"/>
      <w:position w:val="-1"/>
      <w:effect w:val="none"/>
      <w:vertAlign w:val="baseline"/>
      <w:cs w:val="0"/>
      <w:em w:val="none"/>
    </w:rPr>
  </w:style>
  <w:style w:type="paragraph" w:customStyle="1" w:styleId="tj">
    <w:name w:val="tj"/>
    <w:basedOn w:val="a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pPr>
      <w:widowControl w:val="0"/>
      <w:autoSpaceDE w:val="0"/>
      <w:autoSpaceDN w:val="0"/>
    </w:pPr>
    <w:rPr>
      <w:rFonts w:ascii="Microsoft Sans Serif" w:hAnsi="Microsoft Sans Serif" w:cs="Microsoft Sans Serif"/>
      <w:sz w:val="22"/>
      <w:szCs w:val="22"/>
    </w:rPr>
  </w:style>
  <w:style w:type="paragraph" w:styleId="afc">
    <w:name w:val="Body Text Indent"/>
    <w:basedOn w:val="a"/>
    <w:qFormat/>
    <w:pPr>
      <w:spacing w:after="120"/>
      <w:ind w:left="283"/>
    </w:pPr>
  </w:style>
  <w:style w:type="character" w:customStyle="1" w:styleId="afd">
    <w:name w:val="Основной текст с отступом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afe">
    <w:name w:val="Шапка документу"/>
    <w:basedOn w:val="a"/>
    <w:pPr>
      <w:keepNext/>
      <w:keepLines/>
      <w:spacing w:after="240"/>
      <w:ind w:left="4536"/>
      <w:jc w:val="center"/>
    </w:pPr>
    <w:rPr>
      <w:rFonts w:ascii="Antiqua" w:hAnsi="Antiqua"/>
      <w:sz w:val="26"/>
      <w:szCs w:val="20"/>
    </w:rPr>
  </w:style>
  <w:style w:type="paragraph" w:customStyle="1" w:styleId="aff">
    <w:name w:val="Назва документа"/>
    <w:basedOn w:val="a"/>
    <w:next w:val="a"/>
    <w:pPr>
      <w:keepNext/>
      <w:keepLines/>
      <w:spacing w:before="240" w:after="240"/>
      <w:jc w:val="center"/>
    </w:pPr>
    <w:rPr>
      <w:rFonts w:ascii="Antiqua" w:hAnsi="Antiqua"/>
      <w:b/>
      <w:sz w:val="26"/>
      <w:szCs w:val="20"/>
    </w:rPr>
  </w:style>
  <w:style w:type="paragraph" w:customStyle="1" w:styleId="aff0">
    <w:name w:val="Нормальний текст"/>
    <w:basedOn w:val="a"/>
    <w:pPr>
      <w:spacing w:before="120"/>
      <w:ind w:firstLine="567"/>
    </w:pPr>
    <w:rPr>
      <w:rFonts w:ascii="Antiqua" w:hAnsi="Antiqua"/>
      <w:sz w:val="26"/>
      <w:szCs w:val="20"/>
    </w:rPr>
  </w:style>
  <w:style w:type="paragraph" w:customStyle="1" w:styleId="ShapkaDocumentu">
    <w:name w:val="Shapka Documentu"/>
    <w:basedOn w:val="a"/>
    <w:pPr>
      <w:keepNext/>
      <w:keepLines/>
      <w:spacing w:after="240"/>
      <w:ind w:left="3969"/>
      <w:jc w:val="center"/>
    </w:pPr>
    <w:rPr>
      <w:rFonts w:ascii="Antiqua" w:hAnsi="Antiqua"/>
      <w:sz w:val="26"/>
      <w:szCs w:val="20"/>
    </w:rPr>
  </w:style>
  <w:style w:type="character" w:customStyle="1" w:styleId="aff1">
    <w:name w:val="Нормальний текст Знак"/>
    <w:rPr>
      <w:rFonts w:ascii="Antiqua" w:hAnsi="Antiqua"/>
      <w:w w:val="100"/>
      <w:position w:val="-1"/>
      <w:sz w:val="26"/>
      <w:effect w:val="none"/>
      <w:vertAlign w:val="baseline"/>
      <w:cs w:val="0"/>
      <w:em w:val="none"/>
      <w:lang w:eastAsia="ru-RU"/>
    </w:rPr>
  </w:style>
  <w:style w:type="character" w:customStyle="1" w:styleId="xfm73102397">
    <w:name w:val="xfm_73102397"/>
    <w:rPr>
      <w:w w:val="100"/>
      <w:position w:val="-1"/>
      <w:effect w:val="none"/>
      <w:vertAlign w:val="baseline"/>
      <w:cs w:val="0"/>
      <w:em w:val="none"/>
    </w:rPr>
  </w:style>
  <w:style w:type="paragraph" w:customStyle="1" w:styleId="SingleTxt">
    <w:name w:val="__Single Txt"/>
    <w:basedOn w:val="a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 w:line="240" w:lineRule="atLeast"/>
      <w:ind w:left="1267" w:right="1267"/>
      <w:jc w:val="both"/>
    </w:pPr>
    <w:rPr>
      <w:spacing w:val="4"/>
      <w:w w:val="103"/>
      <w:kern w:val="14"/>
      <w:sz w:val="20"/>
      <w:szCs w:val="22"/>
      <w:lang w:val="ru-RU"/>
    </w:rPr>
  </w:style>
  <w:style w:type="character" w:customStyle="1" w:styleId="HTML1">
    <w:name w:val="Стандартний HTML Знак1"/>
    <w:rPr>
      <w:rFonts w:ascii="Courier New" w:hAnsi="Courier New" w:cs="Times New Roman"/>
      <w:w w:val="100"/>
      <w:position w:val="-1"/>
      <w:effect w:val="none"/>
      <w:vertAlign w:val="baseline"/>
      <w:cs w:val="0"/>
      <w:em w:val="none"/>
      <w:lang w:val="ru-RU" w:eastAsia="ru-RU"/>
    </w:rPr>
  </w:style>
  <w:style w:type="character" w:customStyle="1" w:styleId="vkekvd">
    <w:name w:val="vkekvd"/>
    <w:rPr>
      <w:w w:val="100"/>
      <w:position w:val="-1"/>
      <w:effect w:val="none"/>
      <w:vertAlign w:val="baseline"/>
      <w:cs w:val="0"/>
      <w:em w:val="none"/>
    </w:rPr>
  </w:style>
  <w:style w:type="paragraph" w:styleId="aff2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/v2X8rFUnL9+eePtpgvIRnxKhw==">CgMxLjA4AHIhMVp5UGI5cUNRVmVsdkJhQldlUG9EbEVFZTRoVVZhc0dr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17828</Words>
  <Characters>10163</Characters>
  <Application>Microsoft Office Word</Application>
  <DocSecurity>0</DocSecurity>
  <Lines>84</Lines>
  <Paragraphs>55</Paragraphs>
  <ScaleCrop>false</ScaleCrop>
  <Company/>
  <LinksUpToDate>false</LinksUpToDate>
  <CharactersWithSpaces>27936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Suhorukova</dc:creator>
  <cp:lastModifiedBy>User</cp:lastModifiedBy>
  <cp:revision>4</cp:revision>
  <dcterms:created xsi:type="dcterms:W3CDTF">2026-02-18T08:53:00Z</dcterms:created>
  <dcterms:modified xsi:type="dcterms:W3CDTF">2026-04-24T05:57:00Z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ba7116b2-a64b-419f-89e1-b8bd4491c7fd</vt:lpwstr>
  </property>
</Properties>
</file>