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242E67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8D0600">
        <w:rPr>
          <w:rFonts w:eastAsia="Arial Unicode MS"/>
          <w:b/>
          <w:sz w:val="28"/>
          <w:szCs w:val="28"/>
        </w:rPr>
        <w:t xml:space="preserve">14 </w:t>
      </w:r>
      <w:r w:rsidR="006709F2">
        <w:rPr>
          <w:rFonts w:eastAsia="Arial Unicode MS"/>
          <w:b/>
          <w:sz w:val="28"/>
          <w:szCs w:val="28"/>
        </w:rPr>
        <w:t>квітня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8D0600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8D0600">
        <w:rPr>
          <w:rFonts w:eastAsia="Arial Unicode MS"/>
          <w:b/>
          <w:sz w:val="28"/>
          <w:szCs w:val="28"/>
        </w:rPr>
        <w:t>10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467C49">
        <w:rPr>
          <w:rStyle w:val="a7"/>
          <w:b/>
          <w:i w:val="0"/>
          <w:sz w:val="28"/>
          <w:szCs w:val="28"/>
          <w:lang w:val="ru-RU"/>
        </w:rPr>
        <w:t>Васькевичу В.П.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467C49" w:rsidRDefault="00467C49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живими квітами </w:t>
      </w:r>
      <w:r w:rsidR="00C3318B" w:rsidRPr="00C3318B">
        <w:rPr>
          <w:rStyle w:val="a7"/>
          <w:b/>
          <w:i w:val="0"/>
          <w:sz w:val="28"/>
          <w:szCs w:val="28"/>
        </w:rPr>
        <w:t>за адрес</w:t>
      </w:r>
      <w:r w:rsidR="00CA58B4">
        <w:rPr>
          <w:rStyle w:val="a7"/>
          <w:b/>
          <w:i w:val="0"/>
          <w:sz w:val="28"/>
          <w:szCs w:val="28"/>
        </w:rPr>
        <w:t>ою</w:t>
      </w:r>
      <w:r w:rsidR="00C3318B"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</w:p>
    <w:p w:rsidR="004A675E" w:rsidRPr="00DA4277" w:rsidRDefault="00B122CC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6709F2">
        <w:rPr>
          <w:rStyle w:val="a7"/>
          <w:b/>
          <w:i w:val="0"/>
          <w:sz w:val="28"/>
          <w:szCs w:val="28"/>
        </w:rPr>
        <w:t xml:space="preserve">С.Петлюри, </w:t>
      </w:r>
      <w:r w:rsidR="00CA58B4">
        <w:rPr>
          <w:rStyle w:val="a7"/>
          <w:b/>
          <w:i w:val="0"/>
          <w:sz w:val="28"/>
          <w:szCs w:val="28"/>
        </w:rPr>
        <w:t>2</w:t>
      </w:r>
      <w:r w:rsidR="006709F2">
        <w:rPr>
          <w:rStyle w:val="a7"/>
          <w:b/>
          <w:i w:val="0"/>
          <w:sz w:val="28"/>
          <w:szCs w:val="28"/>
        </w:rPr>
        <w:t xml:space="preserve"> (Фора)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834B2E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AB6D66">
        <w:rPr>
          <w:sz w:val="28"/>
          <w:szCs w:val="28"/>
        </w:rPr>
        <w:t xml:space="preserve">», </w:t>
      </w:r>
      <w:r w:rsidR="00434A18" w:rsidRPr="001A7D18">
        <w:rPr>
          <w:sz w:val="28"/>
          <w:szCs w:val="28"/>
        </w:rPr>
        <w:t>розглянувши заяву</w:t>
      </w:r>
      <w:r w:rsidRPr="001A7D18"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 xml:space="preserve">ФОП </w:t>
      </w:r>
      <w:r w:rsidR="00467C49">
        <w:rPr>
          <w:sz w:val="28"/>
          <w:szCs w:val="28"/>
        </w:rPr>
        <w:t>Васькевича Валентина Петровича</w:t>
      </w:r>
      <w:r w:rsidR="004A675E" w:rsidRPr="001A7D18">
        <w:rPr>
          <w:sz w:val="28"/>
          <w:szCs w:val="28"/>
        </w:rPr>
        <w:t xml:space="preserve"> </w:t>
      </w:r>
      <w:r w:rsidR="00467C49">
        <w:rPr>
          <w:sz w:val="28"/>
          <w:szCs w:val="28"/>
        </w:rPr>
        <w:t xml:space="preserve">від 06.04.2026 № 13.03-01/452 </w:t>
      </w:r>
      <w:r w:rsidR="004A675E" w:rsidRPr="001A7D18">
        <w:rPr>
          <w:sz w:val="28"/>
          <w:szCs w:val="28"/>
        </w:rPr>
        <w:t xml:space="preserve">про надання погодження на здійснення виїзної тимчасової торгівлі </w:t>
      </w:r>
      <w:r w:rsidR="00AB6D66">
        <w:rPr>
          <w:sz w:val="28"/>
          <w:szCs w:val="28"/>
        </w:rPr>
        <w:t xml:space="preserve">живими квітами та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467C49">
        <w:rPr>
          <w:sz w:val="28"/>
          <w:szCs w:val="28"/>
        </w:rPr>
        <w:t>18</w:t>
      </w:r>
      <w:r w:rsidR="004A675E" w:rsidRPr="001A7D18">
        <w:rPr>
          <w:sz w:val="28"/>
          <w:szCs w:val="28"/>
        </w:rPr>
        <w:t>.0</w:t>
      </w:r>
      <w:r w:rsidR="00467C49">
        <w:rPr>
          <w:sz w:val="28"/>
          <w:szCs w:val="28"/>
        </w:rPr>
        <w:t>2</w:t>
      </w:r>
      <w:r w:rsidR="006709F2">
        <w:rPr>
          <w:sz w:val="28"/>
          <w:szCs w:val="28"/>
        </w:rPr>
        <w:t>.</w:t>
      </w:r>
      <w:r w:rsidR="00467C49">
        <w:rPr>
          <w:sz w:val="28"/>
          <w:szCs w:val="28"/>
        </w:rPr>
        <w:t>2010</w:t>
      </w:r>
      <w:r w:rsidR="00186D85">
        <w:rPr>
          <w:sz w:val="28"/>
          <w:szCs w:val="28"/>
        </w:rPr>
        <w:t xml:space="preserve"> за №2</w:t>
      </w:r>
      <w:r w:rsidR="00467C49">
        <w:rPr>
          <w:sz w:val="28"/>
          <w:szCs w:val="28"/>
        </w:rPr>
        <w:t> 339 000 0000 010050</w:t>
      </w:r>
      <w:r w:rsidR="004A675E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467C49">
        <w:rPr>
          <w:sz w:val="28"/>
          <w:szCs w:val="28"/>
        </w:rPr>
        <w:t>Васькевичу Валентину Петровичу на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186D85">
        <w:rPr>
          <w:sz w:val="28"/>
          <w:szCs w:val="28"/>
        </w:rPr>
        <w:t xml:space="preserve">виїзної тимчасової торгівлі </w:t>
      </w:r>
      <w:r w:rsidR="00467C49">
        <w:rPr>
          <w:sz w:val="28"/>
          <w:szCs w:val="28"/>
        </w:rPr>
        <w:t>живими 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CA58B4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</w:t>
      </w:r>
      <w:r w:rsidR="00186D85">
        <w:rPr>
          <w:rStyle w:val="a7"/>
          <w:i w:val="0"/>
          <w:sz w:val="28"/>
          <w:szCs w:val="28"/>
        </w:rPr>
        <w:t>,</w:t>
      </w:r>
      <w:r w:rsidR="00603A01" w:rsidRPr="00603A01">
        <w:rPr>
          <w:rStyle w:val="a7"/>
          <w:i w:val="0"/>
          <w:sz w:val="28"/>
          <w:szCs w:val="28"/>
        </w:rPr>
        <w:t xml:space="preserve"> вул.</w:t>
      </w:r>
      <w:r w:rsidR="00467C49">
        <w:rPr>
          <w:rStyle w:val="a7"/>
          <w:i w:val="0"/>
          <w:sz w:val="28"/>
          <w:szCs w:val="28"/>
        </w:rPr>
        <w:t xml:space="preserve"> </w:t>
      </w:r>
      <w:r w:rsidR="006709F2">
        <w:rPr>
          <w:rStyle w:val="a7"/>
          <w:i w:val="0"/>
          <w:sz w:val="28"/>
          <w:szCs w:val="28"/>
        </w:rPr>
        <w:t>С.Петлюри, 2 (Фора)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467C49">
        <w:rPr>
          <w:sz w:val="28"/>
          <w:szCs w:val="28"/>
        </w:rPr>
        <w:t>з 08.05</w:t>
      </w:r>
      <w:r w:rsidR="00DD257D" w:rsidRPr="00DA4277">
        <w:rPr>
          <w:sz w:val="28"/>
          <w:szCs w:val="28"/>
        </w:rPr>
        <w:t xml:space="preserve">.2026 </w:t>
      </w:r>
      <w:r w:rsidR="00A94F69" w:rsidRPr="00DA4277">
        <w:rPr>
          <w:sz w:val="28"/>
          <w:szCs w:val="28"/>
        </w:rPr>
        <w:t xml:space="preserve">по </w:t>
      </w:r>
      <w:r w:rsidR="00AF0B4A">
        <w:rPr>
          <w:sz w:val="28"/>
          <w:szCs w:val="28"/>
        </w:rPr>
        <w:t>31</w:t>
      </w:r>
      <w:r w:rsidR="00A94F69" w:rsidRPr="00DA4277">
        <w:rPr>
          <w:sz w:val="28"/>
          <w:szCs w:val="28"/>
        </w:rPr>
        <w:t>.</w:t>
      </w:r>
      <w:r w:rsidR="00AF0B4A">
        <w:rPr>
          <w:sz w:val="28"/>
          <w:szCs w:val="28"/>
        </w:rPr>
        <w:t>05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467C49">
        <w:rPr>
          <w:sz w:val="28"/>
          <w:szCs w:val="28"/>
        </w:rPr>
        <w:t>Васькевича Валентина Петровича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467C49">
        <w:rPr>
          <w:sz w:val="28"/>
          <w:szCs w:val="28"/>
        </w:rPr>
        <w:t>живими квітами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467C49" w:rsidRPr="00467C49">
        <w:rPr>
          <w:sz w:val="28"/>
          <w:szCs w:val="28"/>
        </w:rPr>
        <w:t xml:space="preserve">Васькевичу Валентину Петровичу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467C49">
        <w:rPr>
          <w:sz w:val="28"/>
          <w:szCs w:val="28"/>
        </w:rPr>
        <w:t>Васькевича Валентина Петровича</w:t>
      </w:r>
      <w:r w:rsidR="00C9631D" w:rsidRPr="00467C49">
        <w:rPr>
          <w:sz w:val="28"/>
          <w:szCs w:val="28"/>
        </w:rPr>
        <w:t>,</w:t>
      </w:r>
      <w:r w:rsidR="00C9631D" w:rsidRPr="00925204">
        <w:rPr>
          <w:sz w:val="28"/>
          <w:szCs w:val="28"/>
        </w:rPr>
        <w:t xml:space="preserve">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352C6B" w:rsidRDefault="00242E67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</w:t>
      </w:r>
      <w:r w:rsidR="00352C6B">
        <w:rPr>
          <w:sz w:val="28"/>
          <w:szCs w:val="28"/>
        </w:rPr>
        <w:t xml:space="preserve"> набирає чинності з дня його доведення до відома заявника.</w:t>
      </w:r>
    </w:p>
    <w:p w:rsidR="00352C6B" w:rsidRDefault="00352C6B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Управлінню «Центру надання адміністративних послуг» виконавчого комітету Боярської міської ради забезпечити викона</w:t>
      </w:r>
      <w:r w:rsidR="00242E67">
        <w:rPr>
          <w:sz w:val="28"/>
          <w:szCs w:val="28"/>
        </w:rPr>
        <w:t>ння пункту 5 цього рішення</w:t>
      </w:r>
      <w:r>
        <w:rPr>
          <w:sz w:val="28"/>
          <w:szCs w:val="28"/>
        </w:rPr>
        <w:t xml:space="preserve"> та забезпечити фіксацію інформації про час та </w:t>
      </w:r>
      <w:r w:rsidR="00406560">
        <w:rPr>
          <w:sz w:val="28"/>
          <w:szCs w:val="28"/>
        </w:rPr>
        <w:t>спосіб доведення рішення</w:t>
      </w:r>
      <w:r>
        <w:rPr>
          <w:sz w:val="28"/>
          <w:szCs w:val="28"/>
        </w:rPr>
        <w:t xml:space="preserve"> до відома особи.</w:t>
      </w:r>
    </w:p>
    <w:p w:rsidR="00352C6B" w:rsidRPr="00925204" w:rsidRDefault="00352C6B" w:rsidP="00352C6B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 w:rsidR="00242E67"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957FAE" w:rsidRPr="00925204" w:rsidRDefault="00957FAE" w:rsidP="006C763A">
      <w:pPr>
        <w:jc w:val="both"/>
        <w:rPr>
          <w:szCs w:val="28"/>
        </w:rPr>
      </w:pP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  <w:r w:rsidRPr="00E00A1E">
        <w:rPr>
          <w:b/>
          <w:sz w:val="27"/>
          <w:szCs w:val="27"/>
          <w:lang w:val="ru-RU"/>
        </w:rPr>
        <w:t xml:space="preserve">МІСЬКИЙ ГОЛОВА </w:t>
      </w:r>
      <w:r w:rsidRPr="00E00A1E">
        <w:rPr>
          <w:b/>
          <w:sz w:val="27"/>
          <w:szCs w:val="27"/>
          <w:lang w:val="ru-RU"/>
        </w:rPr>
        <w:tab/>
      </w:r>
      <w:r w:rsidRPr="00E00A1E">
        <w:rPr>
          <w:b/>
          <w:sz w:val="27"/>
          <w:szCs w:val="27"/>
          <w:lang w:val="ru-RU"/>
        </w:rPr>
        <w:tab/>
      </w:r>
      <w:r w:rsidRPr="00E00A1E">
        <w:rPr>
          <w:b/>
          <w:sz w:val="27"/>
          <w:szCs w:val="27"/>
          <w:lang w:val="ru-RU"/>
        </w:rPr>
        <w:tab/>
      </w:r>
      <w:r w:rsidRPr="00E00A1E">
        <w:rPr>
          <w:b/>
          <w:sz w:val="27"/>
          <w:szCs w:val="27"/>
          <w:lang w:val="ru-RU"/>
        </w:rPr>
        <w:tab/>
      </w:r>
      <w:r w:rsidRPr="00E00A1E">
        <w:rPr>
          <w:b/>
          <w:sz w:val="27"/>
          <w:szCs w:val="27"/>
          <w:lang w:val="ru-RU"/>
        </w:rPr>
        <w:tab/>
      </w:r>
      <w:r w:rsidRPr="00E00A1E">
        <w:rPr>
          <w:b/>
          <w:sz w:val="27"/>
          <w:szCs w:val="27"/>
          <w:lang w:val="ru-RU"/>
        </w:rPr>
        <w:tab/>
        <w:t>Олександр ЗАРУБІН</w:t>
      </w: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b/>
          <w:sz w:val="27"/>
          <w:szCs w:val="27"/>
          <w:lang w:val="ru-RU"/>
        </w:rPr>
      </w:pPr>
    </w:p>
    <w:p w:rsidR="00E00A1E" w:rsidRDefault="00E00A1E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Default="00C52334" w:rsidP="00E00A1E">
      <w:pPr>
        <w:ind w:right="99"/>
        <w:rPr>
          <w:sz w:val="27"/>
          <w:szCs w:val="27"/>
          <w:lang w:val="ru-RU"/>
        </w:rPr>
      </w:pPr>
    </w:p>
    <w:p w:rsidR="00C52334" w:rsidRPr="00E00A1E" w:rsidRDefault="00C52334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Підготувала:</w:t>
      </w:r>
    </w:p>
    <w:p w:rsid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 xml:space="preserve">Головний спеціаліст 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відділу економічного аналізу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та стратегічного планування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Олена ГОРОДЬКО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Погоджено: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 xml:space="preserve">Начальник відділу 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економічного аналізу та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стратегічного планування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Алла ЛІЩУК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Начальник юридичного відділу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Леся МАРУЖЕНКО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 xml:space="preserve">Головний спеціаліст з питань 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  <w:r w:rsidRPr="00E00A1E">
        <w:rPr>
          <w:sz w:val="27"/>
          <w:szCs w:val="27"/>
          <w:lang w:val="ru-RU"/>
        </w:rPr>
        <w:t>запобігання та виявлення корупції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  <w:t>Олена НАРДЕКОВА</w:t>
      </w:r>
    </w:p>
    <w:p w:rsidR="00E00A1E" w:rsidRPr="00E00A1E" w:rsidRDefault="00E00A1E" w:rsidP="00E00A1E">
      <w:pPr>
        <w:ind w:right="99"/>
        <w:rPr>
          <w:sz w:val="27"/>
          <w:szCs w:val="27"/>
          <w:lang w:val="ru-RU"/>
        </w:rPr>
      </w:pPr>
    </w:p>
    <w:p w:rsidR="000C3605" w:rsidRPr="00E00A1E" w:rsidRDefault="00E00A1E" w:rsidP="00E00A1E">
      <w:pPr>
        <w:ind w:right="99"/>
        <w:rPr>
          <w:sz w:val="28"/>
          <w:szCs w:val="28"/>
          <w:lang w:val="ru-RU"/>
        </w:rPr>
      </w:pPr>
      <w:r w:rsidRPr="00E00A1E">
        <w:rPr>
          <w:sz w:val="27"/>
          <w:szCs w:val="27"/>
          <w:lang w:val="ru-RU"/>
        </w:rPr>
        <w:t>Перший заступник міського голови</w:t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 w:rsidRPr="00E00A1E">
        <w:rPr>
          <w:sz w:val="27"/>
          <w:szCs w:val="27"/>
          <w:lang w:val="ru-RU"/>
        </w:rPr>
        <w:t>Тетяна КОЧКОВА</w:t>
      </w:r>
    </w:p>
    <w:sectPr w:rsidR="000C3605" w:rsidRPr="00E00A1E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39" w:rsidRDefault="00973D39" w:rsidP="00881903">
      <w:r>
        <w:separator/>
      </w:r>
    </w:p>
  </w:endnote>
  <w:endnote w:type="continuationSeparator" w:id="0">
    <w:p w:rsidR="00973D39" w:rsidRDefault="00973D39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39" w:rsidRDefault="00973D39" w:rsidP="00881903">
      <w:r>
        <w:separator/>
      </w:r>
    </w:p>
  </w:footnote>
  <w:footnote w:type="continuationSeparator" w:id="0">
    <w:p w:rsidR="00973D39" w:rsidRDefault="00973D39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58F4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86D85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06FE6"/>
    <w:rsid w:val="00213743"/>
    <w:rsid w:val="002234BB"/>
    <w:rsid w:val="002362DC"/>
    <w:rsid w:val="00241CC3"/>
    <w:rsid w:val="00242E67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2C6B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560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66A9F"/>
    <w:rsid w:val="00467C49"/>
    <w:rsid w:val="004708F0"/>
    <w:rsid w:val="00486B45"/>
    <w:rsid w:val="0049206A"/>
    <w:rsid w:val="0049221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1DEB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2F9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709F2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6E2057"/>
    <w:rsid w:val="006F2144"/>
    <w:rsid w:val="007013A2"/>
    <w:rsid w:val="00706E61"/>
    <w:rsid w:val="007122D3"/>
    <w:rsid w:val="00715018"/>
    <w:rsid w:val="007157B6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311CD"/>
    <w:rsid w:val="00834B2E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0600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3D39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05F91"/>
    <w:rsid w:val="00A07890"/>
    <w:rsid w:val="00A17CAE"/>
    <w:rsid w:val="00A21D28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B6D66"/>
    <w:rsid w:val="00AC4F95"/>
    <w:rsid w:val="00AD6379"/>
    <w:rsid w:val="00AE30E6"/>
    <w:rsid w:val="00AE4487"/>
    <w:rsid w:val="00AF0B4A"/>
    <w:rsid w:val="00B122CC"/>
    <w:rsid w:val="00B12B5C"/>
    <w:rsid w:val="00B16BEB"/>
    <w:rsid w:val="00B17884"/>
    <w:rsid w:val="00B2341B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03A9"/>
    <w:rsid w:val="00BF26FB"/>
    <w:rsid w:val="00BF6935"/>
    <w:rsid w:val="00C21D52"/>
    <w:rsid w:val="00C23C9A"/>
    <w:rsid w:val="00C2654E"/>
    <w:rsid w:val="00C3318B"/>
    <w:rsid w:val="00C37E5C"/>
    <w:rsid w:val="00C417C7"/>
    <w:rsid w:val="00C52334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0D76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E50A3"/>
    <w:rsid w:val="00CF5FF1"/>
    <w:rsid w:val="00D0176A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B49FF"/>
    <w:rsid w:val="00DC4D57"/>
    <w:rsid w:val="00DC5FB2"/>
    <w:rsid w:val="00DD257D"/>
    <w:rsid w:val="00DE755B"/>
    <w:rsid w:val="00DF040A"/>
    <w:rsid w:val="00DF4E57"/>
    <w:rsid w:val="00DF70EC"/>
    <w:rsid w:val="00E00A1E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56F9A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5EDFE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2026-04-07T13:26:00Z</cp:lastPrinted>
  <dcterms:created xsi:type="dcterms:W3CDTF">2026-04-16T13:29:00Z</dcterms:created>
  <dcterms:modified xsi:type="dcterms:W3CDTF">2026-04-16T13:29:00Z</dcterms:modified>
</cp:coreProperties>
</file>