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14AC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center"/>
          </w:tcPr>
          <w:p w14:paraId="74DBE048">
            <w:pPr>
              <w:spacing w:after="0" w:line="240" w:lineRule="auto"/>
              <w:jc w:val="both"/>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14 травня</w:t>
            </w:r>
            <w:r>
              <w:rPr>
                <w:rFonts w:ascii="Times New Roman" w:hAnsi="Times New Roman" w:eastAsia="Times New Roman" w:cs="Times New Roman"/>
                <w:sz w:val="28"/>
                <w:szCs w:val="28"/>
                <w:lang w:val="uk-UA" w:eastAsia="ru-RU"/>
              </w:rPr>
              <w:t xml:space="preserve"> 202</w:t>
            </w:r>
            <w:r>
              <w:rPr>
                <w:rFonts w:hint="default"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val="uk-UA" w:eastAsia="ru-RU"/>
              </w:rPr>
              <w:t xml:space="preserve"> р.</w:t>
            </w:r>
          </w:p>
        </w:tc>
        <w:tc>
          <w:tcPr>
            <w:tcW w:w="3209" w:type="dxa"/>
            <w:vAlign w:val="center"/>
          </w:tcPr>
          <w:p w14:paraId="3238129C">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vAlign w:val="center"/>
          </w:tcPr>
          <w:p w14:paraId="2C2EA63E">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4/17</w:t>
            </w:r>
          </w:p>
        </w:tc>
      </w:tr>
    </w:tbl>
    <w:p w14:paraId="333F72E7">
      <w:pPr>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hint="default" w:ascii="Times New Roman" w:hAnsi="Times New Roman"/>
          <w:b/>
          <w:sz w:val="28"/>
          <w:szCs w:val="28"/>
          <w:lang w:val="uk-UA"/>
        </w:rPr>
        <w:t xml:space="preserve">Про затвердження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Боярської ТГ </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8</w:t>
      </w:r>
      <w:r>
        <w:rPr>
          <w:rFonts w:ascii="Times New Roman" w:hAnsi="Times New Roman" w:cs="Times New Roman"/>
          <w:b/>
          <w:sz w:val="28"/>
          <w:szCs w:val="28"/>
          <w:lang w:val="uk-UA"/>
        </w:rPr>
        <w:t>/</w:t>
      </w:r>
      <w:r>
        <w:rPr>
          <w:rFonts w:hint="default" w:ascii="Times New Roman" w:hAnsi="Times New Roman" w:cs="Times New Roman"/>
          <w:b/>
          <w:sz w:val="28"/>
          <w:szCs w:val="28"/>
          <w:lang w:val="en-US"/>
        </w:rPr>
        <w:t>1</w:t>
      </w:r>
      <w:r>
        <w:rPr>
          <w:rFonts w:ascii="Times New Roman" w:hAnsi="Times New Roman" w:cs="Times New Roman"/>
          <w:b/>
          <w:sz w:val="28"/>
          <w:szCs w:val="28"/>
          <w:lang w:val="uk-UA"/>
        </w:rPr>
        <w:t xml:space="preserve">, </w:t>
      </w:r>
    </w:p>
    <w:p w14:paraId="2FA08015">
      <w:pPr>
        <w:keepNext w:val="0"/>
        <w:keepLines w:val="0"/>
        <w:pageBreakBefore w:val="0"/>
        <w:widowControl/>
        <w:kinsoku/>
        <w:wordWrap/>
        <w:overflowPunct/>
        <w:topLinePunct w:val="0"/>
        <w:autoSpaceDE/>
        <w:autoSpaceDN/>
        <w:bidi w:val="0"/>
        <w:adjustRightInd/>
        <w:snapToGrid/>
        <w:spacing w:after="283" w:line="264" w:lineRule="auto"/>
        <w:contextualSpacing/>
        <w:textAlignment w:val="auto"/>
        <w:rPr>
          <w:rFonts w:hint="default"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en-US"/>
        </w:rPr>
        <w:t>1</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w:t>
      </w:r>
      <w:r>
        <w:rPr>
          <w:rFonts w:hint="default" w:ascii="Times New Roman" w:hAnsi="Times New Roman" w:cs="Times New Roman"/>
          <w:b/>
          <w:sz w:val="28"/>
          <w:szCs w:val="28"/>
          <w:highlight w:val="none"/>
          <w:lang w:val="uk-UA"/>
        </w:rPr>
        <w:t>20</w:t>
      </w:r>
      <w:r>
        <w:rPr>
          <w:rFonts w:ascii="Times New Roman" w:hAnsi="Times New Roman" w:cs="Times New Roman"/>
          <w:b/>
          <w:sz w:val="28"/>
          <w:szCs w:val="28"/>
          <w:highlight w:val="none"/>
          <w:lang w:val="uk-UA"/>
        </w:rPr>
        <w:t>.</w:t>
      </w:r>
      <w:r>
        <w:rPr>
          <w:rFonts w:hint="default" w:ascii="Times New Roman" w:hAnsi="Times New Roman" w:cs="Times New Roman"/>
          <w:b/>
          <w:sz w:val="28"/>
          <w:szCs w:val="28"/>
          <w:highlight w:val="none"/>
          <w:lang w:val="uk-UA"/>
        </w:rPr>
        <w:t>04</w:t>
      </w:r>
      <w:r>
        <w:rPr>
          <w:rFonts w:ascii="Times New Roman" w:hAnsi="Times New Roman" w:cs="Times New Roman"/>
          <w:b/>
          <w:sz w:val="28"/>
          <w:szCs w:val="28"/>
          <w:highlight w:val="none"/>
          <w:lang w:val="uk-UA"/>
        </w:rPr>
        <w:t>.202</w:t>
      </w:r>
      <w:r>
        <w:rPr>
          <w:rFonts w:hint="default" w:ascii="Times New Roman" w:hAnsi="Times New Roman" w:cs="Times New Roman"/>
          <w:b/>
          <w:sz w:val="28"/>
          <w:szCs w:val="28"/>
          <w:highlight w:val="none"/>
          <w:lang w:val="uk-UA"/>
        </w:rPr>
        <w:t>6</w:t>
      </w:r>
      <w:r>
        <w:rPr>
          <w:rFonts w:ascii="Times New Roman" w:hAnsi="Times New Roman" w:cs="Times New Roman"/>
          <w:b/>
          <w:sz w:val="28"/>
          <w:szCs w:val="28"/>
          <w:lang w:val="uk-UA"/>
        </w:rPr>
        <w:t xml:space="preserve"> № </w:t>
      </w:r>
      <w:r>
        <w:rPr>
          <w:rFonts w:hint="default" w:ascii="Times New Roman" w:hAnsi="Times New Roman" w:cs="Times New Roman"/>
          <w:b/>
          <w:sz w:val="28"/>
          <w:szCs w:val="28"/>
          <w:lang w:val="uk-UA"/>
        </w:rPr>
        <w:t>8</w:t>
      </w:r>
    </w:p>
    <w:p w14:paraId="1923A45E">
      <w:pPr>
        <w:jc w:val="center"/>
        <w:outlineLvl w:val="0"/>
        <w:rPr>
          <w:rFonts w:hint="default" w:ascii="Times New Roman" w:hAnsi="Times New Roman" w:eastAsiaTheme="majorEastAsia"/>
          <w:color w:val="000000"/>
          <w:sz w:val="26"/>
          <w:szCs w:val="26"/>
          <w:lang w:val="uk-UA"/>
        </w:rPr>
      </w:pPr>
    </w:p>
    <w:p w14:paraId="564E4FBA">
      <w:pPr>
        <w:ind w:left="0" w:leftChars="0" w:firstLine="708" w:firstLineChars="253"/>
        <w:jc w:val="both"/>
        <w:outlineLvl w:val="0"/>
        <w:rPr>
          <w:rFonts w:hint="default" w:ascii="Times New Roman" w:hAnsi="Times New Roman" w:eastAsiaTheme="majorEastAsia"/>
          <w:color w:val="000000"/>
          <w:sz w:val="28"/>
          <w:szCs w:val="28"/>
          <w:lang w:val="uk-UA"/>
        </w:rPr>
      </w:pPr>
      <w:r>
        <w:rPr>
          <w:rFonts w:hint="default" w:ascii="Times New Roman" w:hAnsi="Times New Roman" w:eastAsiaTheme="majorEastAsia"/>
          <w:color w:val="000000"/>
          <w:sz w:val="28"/>
          <w:szCs w:val="28"/>
          <w:lang w:val="uk-UA"/>
        </w:rPr>
        <w:t>Керуючись Законом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затвердженого постановою Кабінету Міністрів України від 30 травня 2023 р. № 600, комісією розглянуті подані заявником документи та письмове звернення №02-05/Х-175/0/26 від 17.03.2026 Щодо відмови від отримання грошової компенсації по програмі " єВідновлення". Розглянувши надані документи та звернення Комісія прийняла рішення про відмов у задоволенні заяви ЗВ-18.11.2025-269579 у наданні компенсації за знищений об’єкт нерухомого майна гр.</w:t>
      </w:r>
      <w:r>
        <w:rPr>
          <w:sz w:val="28"/>
        </w:rPr>
        <mc:AlternateContent>
          <mc:Choice Requires="wps">
            <w:drawing>
              <wp:inline distT="0" distB="0" distL="114300" distR="114300">
                <wp:extent cx="2988310" cy="130810"/>
                <wp:effectExtent l="0" t="0" r="2540" b="2540"/>
                <wp:docPr id="3" name="Rectangles 3"/>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4HqD&#10;DV8CAADE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44F80B84">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Затвердити рішення №</w:t>
      </w:r>
      <w:r>
        <w:rPr>
          <w:rFonts w:hint="default" w:ascii="Times New Roman" w:hAnsi="Times New Roman" w:cs="Times New Roman"/>
          <w:b w:val="0"/>
          <w:bCs w:val="0"/>
          <w:sz w:val="28"/>
          <w:szCs w:val="28"/>
          <w:lang w:val="uk-UA"/>
        </w:rPr>
        <w:t>8</w:t>
      </w:r>
      <w:r>
        <w:rPr>
          <w:rFonts w:ascii="Times New Roman" w:hAnsi="Times New Roman" w:cs="Times New Roman"/>
          <w:b w:val="0"/>
          <w:bCs w:val="0"/>
          <w:sz w:val="28"/>
          <w:szCs w:val="28"/>
          <w:lang w:val="uk-UA"/>
        </w:rPr>
        <w:t>/</w:t>
      </w:r>
      <w:r>
        <w:rPr>
          <w:rFonts w:hint="default" w:ascii="Times New Roman" w:hAnsi="Times New Roman" w:cs="Times New Roman"/>
          <w:b w:val="0"/>
          <w:bCs w:val="0"/>
          <w:sz w:val="28"/>
          <w:szCs w:val="28"/>
          <w:lang w:val="en-US"/>
        </w:rPr>
        <w:t>1</w:t>
      </w:r>
      <w:r>
        <w:rPr>
          <w:rFonts w:ascii="Times New Roman" w:hAnsi="Times New Roman" w:cs="Times New Roman"/>
          <w:b w:val="0"/>
          <w:bCs w:val="0"/>
          <w:sz w:val="28"/>
          <w:szCs w:val="28"/>
          <w:lang w:val="uk-UA"/>
        </w:rPr>
        <w:t xml:space="preserve">, Комісії </w:t>
      </w:r>
      <w:r>
        <w:rPr>
          <w:rFonts w:ascii="Times New Roman" w:hAnsi="Times New Roman" w:cs="Times New Roman" w:eastAsiaTheme="majorEastAsia"/>
          <w:b w:val="0"/>
          <w:bCs w:val="0"/>
          <w:color w:val="000000"/>
          <w:sz w:val="28"/>
          <w:szCs w:val="28"/>
          <w:lang w:val="uk-UA"/>
        </w:rPr>
        <w:t xml:space="preserve">з </w:t>
      </w:r>
      <w:r>
        <w:rPr>
          <w:rFonts w:hint="default" w:ascii="Times New Roman" w:hAnsi="Times New Roman" w:eastAsiaTheme="majorEastAsia"/>
          <w:b w:val="0"/>
          <w:bCs w:val="0"/>
          <w:color w:val="000000"/>
          <w:sz w:val="28"/>
          <w:szCs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w:t>
      </w:r>
      <w:r>
        <w:rPr>
          <w:rFonts w:ascii="Times New Roman" w:hAnsi="Times New Roman" w:cs="Times New Roman" w:eastAsiaTheme="majorEastAsia"/>
          <w:b w:val="0"/>
          <w:bCs w:val="0"/>
          <w:color w:val="000000"/>
          <w:sz w:val="28"/>
          <w:szCs w:val="28"/>
          <w:lang w:val="uk-UA"/>
        </w:rPr>
        <w:t xml:space="preserve"> території Боярської міської територіальної громади, </w:t>
      </w:r>
      <w:r>
        <w:rPr>
          <w:rFonts w:ascii="Times New Roman" w:hAnsi="Times New Roman" w:cs="Times New Roman"/>
          <w:b w:val="0"/>
          <w:bCs w:val="0"/>
          <w:sz w:val="28"/>
          <w:szCs w:val="28"/>
          <w:lang w:val="uk-UA"/>
        </w:rPr>
        <w:t>про</w:t>
      </w:r>
      <w:r>
        <w:rPr>
          <w:rFonts w:hint="default" w:ascii="Times New Roman" w:hAnsi="Times New Roman" w:cs="Times New Roman"/>
          <w:b w:val="0"/>
          <w:bCs w:val="0"/>
          <w:sz w:val="28"/>
          <w:szCs w:val="28"/>
          <w:lang w:val="uk-UA"/>
        </w:rPr>
        <w:t xml:space="preserve"> відмову</w:t>
      </w:r>
      <w:r>
        <w:rPr>
          <w:rFonts w:ascii="Times New Roman" w:hAnsi="Times New Roman" w:cs="Times New Roman"/>
          <w:b w:val="0"/>
          <w:bCs w:val="0"/>
          <w:sz w:val="28"/>
          <w:szCs w:val="28"/>
          <w:lang w:val="uk-UA"/>
        </w:rPr>
        <w:t xml:space="preserve"> у</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наданні гр.</w:t>
      </w:r>
      <w:r>
        <w:rPr>
          <w:sz w:val="28"/>
        </w:rPr>
        <mc:AlternateContent>
          <mc:Choice Requires="wps">
            <w:drawing>
              <wp:inline distT="0" distB="0" distL="114300" distR="114300">
                <wp:extent cx="2988310" cy="130810"/>
                <wp:effectExtent l="0" t="0" r="2540" b="2540"/>
                <wp:docPr id="1" name="Rectangles 1"/>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n0C/&#10;hl8CAADEBAAADgAAAAAAAAABACAAAAAfAQAAZHJzL2Uyb0RvYy54bWxQSwUGAAAAAAYABgBZAQAA&#10;8AUAAAAA&#10;">
                <v:fill on="t" focussize="0,0"/>
                <v:stroke on="f" weight="2pt"/>
                <v:imagedata o:title=""/>
                <o:lock v:ext="edit" aspectratio="f"/>
                <w10:wrap type="none"/>
                <w10:anchorlock/>
              </v:rect>
            </w:pict>
          </mc:Fallback>
        </mc:AlternateContent>
      </w:r>
      <w:r>
        <w:rPr>
          <w:rFonts w:ascii="Times New Roman" w:hAnsi="Times New Roman" w:cs="Times New Roman"/>
          <w:b w:val="0"/>
          <w:bCs w:val="0"/>
          <w:sz w:val="28"/>
          <w:szCs w:val="28"/>
          <w:lang w:val="uk-UA"/>
        </w:rPr>
        <w:t xml:space="preserve"> </w:t>
      </w:r>
      <w:r>
        <w:rPr>
          <w:rFonts w:hint="default" w:ascii="Times New Roman" w:hAnsi="Times New Roman"/>
          <w:b w:val="0"/>
          <w:bCs w:val="0"/>
          <w:sz w:val="28"/>
          <w:szCs w:val="28"/>
          <w:lang w:val="uk-UA"/>
        </w:rPr>
        <w:t xml:space="preserve"> </w:t>
      </w:r>
      <w:r>
        <w:rPr>
          <w:rFonts w:ascii="Times New Roman" w:hAnsi="Times New Roman" w:cs="Times New Roman"/>
          <w:b w:val="0"/>
          <w:bCs w:val="0"/>
          <w:sz w:val="28"/>
          <w:szCs w:val="28"/>
          <w:lang w:val="uk-UA"/>
        </w:rPr>
        <w:t>компенсації на відновлення об’єкту нерухомого</w:t>
      </w:r>
      <w:r>
        <w:rPr>
          <w:rFonts w:hint="default" w:ascii="Times New Roman" w:hAnsi="Times New Roman" w:cs="Times New Roman"/>
          <w:b w:val="0"/>
          <w:bCs w:val="0"/>
          <w:sz w:val="28"/>
          <w:szCs w:val="28"/>
          <w:lang w:val="uk-UA"/>
        </w:rPr>
        <w:t xml:space="preserve"> майна </w:t>
      </w:r>
      <w:r>
        <w:rPr>
          <w:rFonts w:ascii="Times New Roman" w:hAnsi="Times New Roman" w:cs="Times New Roman"/>
          <w:b w:val="0"/>
          <w:bCs w:val="0"/>
          <w:sz w:val="28"/>
          <w:szCs w:val="28"/>
          <w:lang w:val="uk-UA"/>
        </w:rPr>
        <w:t>за заявою</w:t>
      </w:r>
      <w:r>
        <w:rPr>
          <w:rFonts w:hint="default" w:ascii="Times New Roman" w:hAnsi="Times New Roman" w:cs="Times New Roman"/>
          <w:b w:val="0"/>
          <w:bCs w:val="0"/>
          <w:sz w:val="28"/>
          <w:szCs w:val="28"/>
          <w:lang w:val="uk-UA"/>
        </w:rPr>
        <w:t xml:space="preserve"> №</w:t>
      </w:r>
      <w:r>
        <w:rPr>
          <w:rFonts w:hint="default" w:ascii="Times New Roman" w:hAnsi="Times New Roman"/>
          <w:b w:val="0"/>
          <w:bCs w:val="0"/>
          <w:sz w:val="28"/>
          <w:szCs w:val="28"/>
          <w:lang w:val="uk-UA"/>
        </w:rPr>
        <w:t>ЗВ-18.11.2025-269579</w:t>
      </w:r>
      <w:r>
        <w:rPr>
          <w:rFonts w:ascii="Times New Roman" w:hAnsi="Times New Roman" w:cs="Times New Roman"/>
          <w:b w:val="0"/>
          <w:bCs w:val="0"/>
          <w:sz w:val="28"/>
          <w:szCs w:val="28"/>
          <w:lang w:val="uk-UA"/>
        </w:rPr>
        <w:t xml:space="preserve">, </w:t>
      </w:r>
      <w:r>
        <w:rPr>
          <w:rFonts w:ascii="Times New Roman" w:hAnsi="Times New Roman" w:cs="Times New Roman" w:eastAsiaTheme="majorEastAsia"/>
          <w:b w:val="0"/>
          <w:bCs w:val="0"/>
          <w:color w:val="000000" w:themeColor="text1"/>
          <w:sz w:val="28"/>
          <w:szCs w:val="28"/>
          <w:lang w:val="uk-UA"/>
          <w14:textFill>
            <w14:solidFill>
              <w14:schemeClr w14:val="tx1"/>
            </w14:solidFill>
          </w14:textFill>
        </w:rPr>
        <w:t>викладене у п.</w:t>
      </w:r>
      <w:r>
        <w:rPr>
          <w:rFonts w:ascii="Times New Roman" w:hAnsi="Times New Roman" w:cs="Times New Roman" w:eastAsiaTheme="majorEastAsia"/>
          <w:b w:val="0"/>
          <w:bCs w:val="0"/>
          <w:color w:val="000000" w:themeColor="text1"/>
          <w:sz w:val="28"/>
          <w:szCs w:val="28"/>
          <w:highlight w:val="none"/>
          <w:lang w:val="uk-UA"/>
          <w14:textFill>
            <w14:solidFill>
              <w14:schemeClr w14:val="tx1"/>
            </w14:solidFill>
          </w14:textFill>
        </w:rPr>
        <w:t xml:space="preserve"> </w:t>
      </w:r>
      <w:r>
        <w:rPr>
          <w:rFonts w:hint="default" w:ascii="Times New Roman" w:hAnsi="Times New Roman" w:cs="Times New Roman" w:eastAsiaTheme="majorEastAsia"/>
          <w:b w:val="0"/>
          <w:bCs w:val="0"/>
          <w:color w:val="000000" w:themeColor="text1"/>
          <w:sz w:val="28"/>
          <w:szCs w:val="28"/>
          <w:highlight w:val="none"/>
          <w:lang w:val="uk-UA"/>
          <w14:textFill>
            <w14:solidFill>
              <w14:schemeClr w14:val="tx1"/>
            </w14:solidFill>
          </w14:textFill>
        </w:rPr>
        <w:t>1</w:t>
      </w:r>
      <w:r>
        <w:rPr>
          <w:rFonts w:ascii="Times New Roman" w:hAnsi="Times New Roman" w:cs="Times New Roman" w:eastAsiaTheme="majorEastAsia"/>
          <w:b w:val="0"/>
          <w:bCs w:val="0"/>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b w:val="0"/>
          <w:bCs w:val="0"/>
          <w:color w:val="000000" w:themeColor="text1"/>
          <w:sz w:val="28"/>
          <w:szCs w:val="28"/>
          <w:lang w:val="uk-UA"/>
          <w14:textFill>
            <w14:solidFill>
              <w14:schemeClr w14:val="tx1"/>
            </w14:solidFill>
          </w14:textFill>
        </w:rPr>
        <w:t xml:space="preserve"> від </w:t>
      </w:r>
      <w:r>
        <w:rPr>
          <w:rFonts w:hint="default" w:ascii="Times New Roman" w:hAnsi="Times New Roman" w:cs="Times New Roman"/>
          <w:b w:val="0"/>
          <w:bCs w:val="0"/>
          <w:color w:val="000000" w:themeColor="text1"/>
          <w:sz w:val="28"/>
          <w:szCs w:val="28"/>
          <w:highlight w:val="none"/>
          <w:lang w:val="uk-UA"/>
          <w14:textFill>
            <w14:solidFill>
              <w14:schemeClr w14:val="tx1"/>
            </w14:solidFill>
          </w14:textFill>
        </w:rPr>
        <w:t>20</w:t>
      </w:r>
      <w:r>
        <w:rPr>
          <w:rFonts w:ascii="Times New Roman" w:hAnsi="Times New Roman" w:cs="Times New Roman"/>
          <w:b w:val="0"/>
          <w:bCs w:val="0"/>
          <w:color w:val="000000" w:themeColor="text1"/>
          <w:sz w:val="28"/>
          <w:szCs w:val="28"/>
          <w:highlight w:val="none"/>
          <w:lang w:val="uk-UA"/>
          <w14:textFill>
            <w14:solidFill>
              <w14:schemeClr w14:val="tx1"/>
            </w14:solidFill>
          </w14:textFill>
        </w:rPr>
        <w:t>.</w:t>
      </w:r>
      <w:r>
        <w:rPr>
          <w:rFonts w:hint="default" w:ascii="Times New Roman" w:hAnsi="Times New Roman" w:cs="Times New Roman"/>
          <w:b w:val="0"/>
          <w:bCs w:val="0"/>
          <w:color w:val="000000" w:themeColor="text1"/>
          <w:sz w:val="28"/>
          <w:szCs w:val="28"/>
          <w:highlight w:val="none"/>
          <w:lang w:val="uk-UA"/>
          <w14:textFill>
            <w14:solidFill>
              <w14:schemeClr w14:val="tx1"/>
            </w14:solidFill>
          </w14:textFill>
        </w:rPr>
        <w:t>04</w:t>
      </w:r>
      <w:r>
        <w:rPr>
          <w:rFonts w:ascii="Times New Roman" w:hAnsi="Times New Roman" w:cs="Times New Roman"/>
          <w:b w:val="0"/>
          <w:bCs w:val="0"/>
          <w:color w:val="000000" w:themeColor="text1"/>
          <w:sz w:val="28"/>
          <w:szCs w:val="28"/>
          <w:highlight w:val="none"/>
          <w:lang w:val="uk-UA"/>
          <w14:textFill>
            <w14:solidFill>
              <w14:schemeClr w14:val="tx1"/>
            </w14:solidFill>
          </w14:textFill>
        </w:rPr>
        <w:t>.202</w:t>
      </w:r>
      <w:r>
        <w:rPr>
          <w:rFonts w:hint="default" w:ascii="Times New Roman" w:hAnsi="Times New Roman" w:cs="Times New Roman"/>
          <w:b w:val="0"/>
          <w:bCs w:val="0"/>
          <w:color w:val="000000" w:themeColor="text1"/>
          <w:sz w:val="28"/>
          <w:szCs w:val="28"/>
          <w:highlight w:val="none"/>
          <w:lang w:val="uk-UA"/>
          <w14:textFill>
            <w14:solidFill>
              <w14:schemeClr w14:val="tx1"/>
            </w14:solidFill>
          </w14:textFill>
        </w:rPr>
        <w:t>6</w:t>
      </w:r>
      <w:r>
        <w:rPr>
          <w:rFonts w:ascii="Times New Roman" w:hAnsi="Times New Roman" w:cs="Times New Roman"/>
          <w:b w:val="0"/>
          <w:bCs w:val="0"/>
          <w:color w:val="000000" w:themeColor="text1"/>
          <w:sz w:val="28"/>
          <w:szCs w:val="28"/>
          <w:highlight w:val="none"/>
          <w:lang w:val="uk-UA"/>
          <w14:textFill>
            <w14:solidFill>
              <w14:schemeClr w14:val="tx1"/>
            </w14:solidFill>
          </w14:textFill>
        </w:rPr>
        <w:t xml:space="preserve"> </w:t>
      </w:r>
      <w:r>
        <w:rPr>
          <w:rFonts w:ascii="Times New Roman" w:hAnsi="Times New Roman" w:cs="Times New Roman"/>
          <w:b w:val="0"/>
          <w:bCs w:val="0"/>
          <w:color w:val="000000" w:themeColor="text1"/>
          <w:sz w:val="28"/>
          <w:szCs w:val="28"/>
          <w:lang w:val="uk-UA"/>
          <w14:textFill>
            <w14:solidFill>
              <w14:schemeClr w14:val="tx1"/>
            </w14:solidFill>
          </w14:textFill>
        </w:rPr>
        <w:t>№</w:t>
      </w:r>
      <w:r>
        <w:rPr>
          <w:rFonts w:hint="default" w:ascii="Times New Roman" w:hAnsi="Times New Roman" w:cs="Times New Roman"/>
          <w:b w:val="0"/>
          <w:bCs w:val="0"/>
          <w:color w:val="000000" w:themeColor="text1"/>
          <w:sz w:val="28"/>
          <w:szCs w:val="28"/>
          <w:lang w:val="uk-UA"/>
          <w14:textFill>
            <w14:solidFill>
              <w14:schemeClr w14:val="tx1"/>
            </w14:solidFill>
          </w14:textFill>
        </w:rPr>
        <w:t>8</w:t>
      </w:r>
      <w:r>
        <w:rPr>
          <w:rFonts w:ascii="Times New Roman" w:hAnsi="Times New Roman" w:cs="Times New Roman"/>
          <w:b w:val="0"/>
          <w:bCs w:val="0"/>
          <w:color w:val="000000" w:themeColor="text1"/>
          <w:sz w:val="28"/>
          <w:szCs w:val="28"/>
          <w:lang w:val="uk-UA"/>
          <w14:textFill>
            <w14:solidFill>
              <w14:schemeClr w14:val="tx1"/>
            </w14:solidFill>
          </w14:textFill>
        </w:rPr>
        <w:t>.</w:t>
      </w:r>
    </w:p>
    <w:p w14:paraId="1046D33D">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Це рішення набирає чинності з дня доведення його до відома заявника</w:t>
      </w:r>
      <w:r>
        <w:rPr>
          <w:rFonts w:hint="default" w:ascii="Times New Roman" w:hAnsi="Times New Roman" w:cs="Times New Roman"/>
          <w:b w:val="0"/>
          <w:bCs w:val="0"/>
          <w:sz w:val="28"/>
          <w:szCs w:val="28"/>
          <w:lang w:val="uk-UA"/>
        </w:rPr>
        <w:t xml:space="preserve"> </w:t>
      </w:r>
      <w:r>
        <w:rPr>
          <w:rFonts w:hint="default" w:ascii="Times New Roman" w:hAnsi="Times New Roman"/>
          <w:b w:val="0"/>
          <w:bCs w:val="0"/>
          <w:sz w:val="28"/>
          <w:szCs w:val="28"/>
          <w:lang w:val="uk-UA"/>
        </w:rPr>
        <w:t>шляхом надсилання на адресу електронної пошти зазначеної при подачі заяви та засобами Порталу Дія</w:t>
      </w:r>
      <w:r>
        <w:rPr>
          <w:rFonts w:ascii="Times New Roman" w:hAnsi="Times New Roman" w:cs="Times New Roman"/>
          <w:b w:val="0"/>
          <w:bCs w:val="0"/>
          <w:sz w:val="28"/>
          <w:szCs w:val="28"/>
          <w:lang w:val="uk-UA"/>
        </w:rPr>
        <w:t>.</w:t>
      </w:r>
      <w:bookmarkStart w:id="1" w:name="_heading=h.8bq3po7inmi1" w:colFirst="0" w:colLast="0"/>
      <w:bookmarkEnd w:id="1"/>
    </w:p>
    <w:p w14:paraId="31C7B8E0">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Членам комісії, відповідальним за розгляд заяви забезпечити невідкладне внесення до Реєстру пошкодженого та знищеного майна відомості про це рішення та його скан-копії.</w:t>
      </w:r>
      <w:bookmarkStart w:id="2" w:name="_heading=h.q78t2kdgg4ca" w:colFirst="0" w:colLast="0"/>
      <w:bookmarkEnd w:id="2"/>
    </w:p>
    <w:p w14:paraId="374494DA">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eastAsia="Times New Roman" w:cs="Times New Roman"/>
          <w:b w:val="0"/>
          <w:bCs w:val="0"/>
          <w:sz w:val="28"/>
          <w:szCs w:val="28"/>
          <w:lang w:val="uk-UA" w:eastAsia="ru-RU"/>
        </w:rPr>
      </w:pPr>
      <w:r>
        <w:rPr>
          <w:rFonts w:ascii="Times New Roman" w:hAnsi="Times New Roman" w:cs="Times New Roman"/>
          <w:b w:val="0"/>
          <w:bCs w:val="0"/>
          <w:sz w:val="28"/>
          <w:szCs w:val="28"/>
          <w:lang w:val="uk-UA"/>
        </w:rPr>
        <w:t>Це рішення може бути оскаржено в судовому порядку протягом шести місяців з дня доведення цього рішення до відома особи до Київського окружного адміністративного суду, що знаходиться за адресою м. Київ, бул. Лесі Українки, 26а.</w:t>
      </w:r>
      <w:bookmarkStart w:id="3" w:name="_heading=h.52yq0t1qhjsb" w:colFirst="0" w:colLast="0"/>
      <w:bookmarkEnd w:id="3"/>
    </w:p>
    <w:p w14:paraId="3C0A9558">
      <w:pPr>
        <w:pStyle w:val="17"/>
        <w:keepNext w:val="0"/>
        <w:keepLines w:val="0"/>
        <w:pageBreakBefore w:val="0"/>
        <w:widowControl/>
        <w:numPr>
          <w:ilvl w:val="0"/>
          <w:numId w:val="1"/>
        </w:numPr>
        <w:tabs>
          <w:tab w:val="left" w:pos="660"/>
          <w:tab w:val="clear" w:pos="0"/>
        </w:tabs>
        <w:kinsoku/>
        <w:wordWrap/>
        <w:overflowPunct/>
        <w:topLinePunct w:val="0"/>
        <w:autoSpaceDE/>
        <w:autoSpaceDN/>
        <w:bidi w:val="0"/>
        <w:adjustRightInd/>
        <w:snapToGrid/>
        <w:spacing w:after="283" w:line="240" w:lineRule="auto"/>
        <w:ind w:left="0" w:leftChars="0" w:firstLine="0" w:firstLineChars="0"/>
        <w:jc w:val="both"/>
        <w:textAlignment w:val="auto"/>
        <w:rPr>
          <w:rFonts w:ascii="Times New Roman" w:hAnsi="Times New Roman" w:eastAsia="Times New Roman" w:cs="Times New Roman"/>
          <w:b w:val="0"/>
          <w:bCs w:val="0"/>
          <w:sz w:val="28"/>
          <w:szCs w:val="28"/>
          <w:lang w:val="uk-UA" w:eastAsia="ru-RU"/>
        </w:rPr>
      </w:pPr>
      <w:r>
        <w:rPr>
          <w:rFonts w:hint="default" w:ascii="Times New Roman" w:hAnsi="Times New Roman" w:cs="Times New Roman"/>
          <w:b w:val="0"/>
          <w:bCs w:val="0"/>
          <w:sz w:val="28"/>
          <w:szCs w:val="28"/>
          <w:lang w:val="uk-UA"/>
        </w:rPr>
        <w:t>Контроль за виконанням даного рішення покласти на керуючу справами, згідно з розподілом функціональних обов'язків.</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3"/>
        <w:gridCol w:w="6632"/>
      </w:tblGrid>
      <w:tr w14:paraId="74F5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3223" w:type="dxa"/>
            <w:vAlign w:val="center"/>
          </w:tcPr>
          <w:p w14:paraId="6C2F1BA9">
            <w:pPr>
              <w:spacing w:after="0" w:line="240" w:lineRule="auto"/>
              <w:jc w:val="both"/>
              <w:rPr>
                <w:rFonts w:ascii="Times New Roman" w:hAnsi="Times New Roman" w:eastAsia="Times New Roman" w:cs="Times New Roman"/>
                <w:sz w:val="28"/>
                <w:szCs w:val="28"/>
                <w:vertAlign w:val="baseline"/>
                <w:lang w:val="uk-UA" w:eastAsia="ru-RU"/>
              </w:rPr>
            </w:pPr>
            <w:r>
              <w:rPr>
                <w:rFonts w:ascii="Times New Roman" w:hAnsi="Times New Roman" w:eastAsia="Times New Roman" w:cs="Times New Roman"/>
                <w:b/>
                <w:sz w:val="28"/>
                <w:szCs w:val="28"/>
                <w:lang w:val="uk-UA" w:eastAsia="ru-RU"/>
              </w:rPr>
              <w:t>В</w:t>
            </w:r>
            <w:r>
              <w:rPr>
                <w:rFonts w:hint="default" w:ascii="Times New Roman" w:hAnsi="Times New Roman" w:eastAsia="Times New Roman" w:cs="Times New Roman"/>
                <w:b/>
                <w:sz w:val="28"/>
                <w:szCs w:val="28"/>
                <w:lang w:val="uk-UA" w:eastAsia="ru-RU"/>
              </w:rPr>
              <w:t>.о. м</w:t>
            </w:r>
            <w:r>
              <w:rPr>
                <w:rFonts w:ascii="Times New Roman" w:hAnsi="Times New Roman" w:eastAsia="Times New Roman" w:cs="Times New Roman"/>
                <w:b/>
                <w:sz w:val="28"/>
                <w:szCs w:val="28"/>
                <w:lang w:val="uk-UA" w:eastAsia="ru-RU"/>
              </w:rPr>
              <w:t>іського голови</w:t>
            </w:r>
          </w:p>
        </w:tc>
        <w:tc>
          <w:tcPr>
            <w:tcW w:w="6632" w:type="dxa"/>
            <w:vAlign w:val="center"/>
          </w:tcPr>
          <w:p w14:paraId="7B50C2A3">
            <w:pPr>
              <w:wordWrap w:val="0"/>
              <w:spacing w:after="0" w:line="240" w:lineRule="auto"/>
              <w:jc w:val="right"/>
              <w:rPr>
                <w:rFonts w:hint="default" w:ascii="Times New Roman" w:hAnsi="Times New Roman" w:eastAsia="Times New Roman" w:cs="Times New Roman"/>
                <w:sz w:val="28"/>
                <w:szCs w:val="28"/>
                <w:vertAlign w:val="baseline"/>
                <w:lang w:val="uk-UA" w:eastAsia="ru-RU"/>
              </w:rPr>
            </w:pPr>
            <w:r>
              <w:rPr>
                <w:rFonts w:ascii="Times New Roman" w:hAnsi="Times New Roman" w:eastAsia="Times New Roman" w:cs="Times New Roman"/>
                <w:b/>
                <w:sz w:val="28"/>
                <w:szCs w:val="28"/>
                <w:lang w:val="uk-UA" w:eastAsia="ru-RU"/>
              </w:rPr>
              <w:t>Віталій</w:t>
            </w:r>
            <w:r>
              <w:rPr>
                <w:rFonts w:hint="default" w:ascii="Times New Roman" w:hAnsi="Times New Roman" w:eastAsia="Times New Roman" w:cs="Times New Roman"/>
                <w:b/>
                <w:sz w:val="28"/>
                <w:szCs w:val="28"/>
                <w:lang w:val="uk-UA" w:eastAsia="ru-RU"/>
              </w:rPr>
              <w:t xml:space="preserve"> МАЗУРЕЦЬ</w:t>
            </w:r>
          </w:p>
        </w:tc>
      </w:tr>
      <w:bookmarkEnd w:id="0"/>
    </w:tbl>
    <w:p w14:paraId="024EC85D">
      <w:pPr>
        <w:rPr>
          <w:rFonts w:ascii="Times New Roman" w:hAnsi="Times New Roman"/>
          <w:bCs/>
          <w:caps/>
          <w:szCs w:val="28"/>
        </w:rPr>
      </w:pPr>
      <w:bookmarkStart w:id="4" w:name="_GoBack"/>
      <w:bookmarkEnd w:id="4"/>
    </w:p>
    <w:sectPr>
      <w:pgSz w:w="11906" w:h="16838"/>
      <w:pgMar w:top="503" w:right="567" w:bottom="425"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tabs>
          <w:tab w:val="left" w:pos="0"/>
        </w:tabs>
        <w:ind w:left="720" w:hanging="360"/>
      </w:pPr>
      <w:rPr>
        <w:rFonts w:hint="default" w:cs="Times New Roman"/>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205A"/>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DF5D64"/>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17D58B3"/>
    <w:rsid w:val="02CB7E75"/>
    <w:rsid w:val="03CB2647"/>
    <w:rsid w:val="04922529"/>
    <w:rsid w:val="07E61182"/>
    <w:rsid w:val="0C1939C9"/>
    <w:rsid w:val="0D8C12BF"/>
    <w:rsid w:val="116541E2"/>
    <w:rsid w:val="134B7CB5"/>
    <w:rsid w:val="187D3F21"/>
    <w:rsid w:val="18A30B2E"/>
    <w:rsid w:val="18A75415"/>
    <w:rsid w:val="19475772"/>
    <w:rsid w:val="1A4A60B1"/>
    <w:rsid w:val="1A6A218D"/>
    <w:rsid w:val="1C855A60"/>
    <w:rsid w:val="1E0A753A"/>
    <w:rsid w:val="1E5D1671"/>
    <w:rsid w:val="1EBB540B"/>
    <w:rsid w:val="1F7C0061"/>
    <w:rsid w:val="1FF51553"/>
    <w:rsid w:val="201E3F5A"/>
    <w:rsid w:val="218B1E6F"/>
    <w:rsid w:val="235A1336"/>
    <w:rsid w:val="242755E0"/>
    <w:rsid w:val="26940722"/>
    <w:rsid w:val="278E556D"/>
    <w:rsid w:val="332F0BE2"/>
    <w:rsid w:val="334404E4"/>
    <w:rsid w:val="354D1DB2"/>
    <w:rsid w:val="364912B8"/>
    <w:rsid w:val="3733791C"/>
    <w:rsid w:val="38F60D15"/>
    <w:rsid w:val="39022116"/>
    <w:rsid w:val="3BF21BD8"/>
    <w:rsid w:val="3C620C55"/>
    <w:rsid w:val="443F23C3"/>
    <w:rsid w:val="47495056"/>
    <w:rsid w:val="48D147C6"/>
    <w:rsid w:val="4A4473FF"/>
    <w:rsid w:val="4EFE25A7"/>
    <w:rsid w:val="4F960CB3"/>
    <w:rsid w:val="53DB5E11"/>
    <w:rsid w:val="5421365B"/>
    <w:rsid w:val="54886D3A"/>
    <w:rsid w:val="5611533C"/>
    <w:rsid w:val="563F7711"/>
    <w:rsid w:val="57E94CAC"/>
    <w:rsid w:val="58C07D08"/>
    <w:rsid w:val="5A5D71D1"/>
    <w:rsid w:val="5AD308E5"/>
    <w:rsid w:val="5BC11016"/>
    <w:rsid w:val="5D057E4B"/>
    <w:rsid w:val="5F8E5854"/>
    <w:rsid w:val="60B41C71"/>
    <w:rsid w:val="617D3BE3"/>
    <w:rsid w:val="64BA1165"/>
    <w:rsid w:val="65F3012E"/>
    <w:rsid w:val="661E592C"/>
    <w:rsid w:val="66251A3A"/>
    <w:rsid w:val="67FC1489"/>
    <w:rsid w:val="684D72DF"/>
    <w:rsid w:val="6BE51391"/>
    <w:rsid w:val="6ED9046A"/>
    <w:rsid w:val="6F672AE6"/>
    <w:rsid w:val="6FDC379B"/>
    <w:rsid w:val="704563AA"/>
    <w:rsid w:val="71630665"/>
    <w:rsid w:val="71C34FC9"/>
    <w:rsid w:val="756844AB"/>
    <w:rsid w:val="7DCA16EC"/>
    <w:rsid w:val="7E3214CE"/>
    <w:rsid w:val="7EE03EAF"/>
    <w:rsid w:val="7F152998"/>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376</Words>
  <Characters>2144</Characters>
  <Lines>17</Lines>
  <Paragraphs>5</Paragraphs>
  <TotalTime>15</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2026-05-18T06:50:35Z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79C6B3F2F0E5499DA8F6159AD4A31237_13</vt:lpwstr>
  </property>
</Properties>
</file>