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B08" w:rsidRPr="00EA7B08" w:rsidRDefault="003A2CEF" w:rsidP="00EA7B0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-290195</wp:posOffset>
                </wp:positionH>
                <wp:positionV relativeFrom="paragraph">
                  <wp:posOffset>-196850</wp:posOffset>
                </wp:positionV>
                <wp:extent cx="1219200" cy="9144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2CEF" w:rsidRDefault="003A2CEF" w:rsidP="003A2CEF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</w:rPr>
                              <w:t>Проект</w:t>
                            </w:r>
                          </w:p>
                          <w:p w:rsidR="003A2CEF" w:rsidRDefault="003A2CEF" w:rsidP="003A2CEF">
                            <w:pPr>
                              <w:spacing w:after="0"/>
                              <w:jc w:val="center"/>
                              <w:rPr>
                                <w:rFonts w:ascii="Times New Roman" w:eastAsia="Calibri" w:hAnsi="Times New Roman" w:cs="Times New Roman"/>
                                <w:lang w:val="uk-UA"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01-03/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184</w:t>
                            </w:r>
                          </w:p>
                          <w:p w:rsidR="003A2CEF" w:rsidRDefault="003A2CEF" w:rsidP="003A2CE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17.08.2026 р. </w:t>
                            </w:r>
                          </w:p>
                          <w:p w:rsidR="003A2CEF" w:rsidRDefault="003A2CEF" w:rsidP="003A2CEF"/>
                          <w:bookmarkEnd w:id="0"/>
                          <w:p w:rsidR="003A2CEF" w:rsidRDefault="003A2CEF" w:rsidP="003A2C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left:0;text-align:left;margin-left:-22.85pt;margin-top:-15.5pt;width:96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" fillcolor="white [3201]" strokecolor="black [3200]" strokeweight="1pt">
                <v:textbox>
                  <w:txbxContent>
                    <w:p w:rsidR="003A2CEF" w:rsidRDefault="003A2CEF" w:rsidP="003A2CEF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</w:rPr>
                        <w:t>Проект</w:t>
                      </w:r>
                    </w:p>
                    <w:p w:rsidR="003A2CEF" w:rsidRDefault="003A2CEF" w:rsidP="003A2CEF">
                      <w:pPr>
                        <w:spacing w:after="0"/>
                        <w:jc w:val="center"/>
                        <w:rPr>
                          <w:rFonts w:ascii="Times New Roman" w:eastAsia="Calibri" w:hAnsi="Times New Roman" w:cs="Times New Roman"/>
                          <w:lang w:val="uk-UA"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01-03/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184</w:t>
                      </w:r>
                    </w:p>
                    <w:p w:rsidR="003A2CEF" w:rsidRDefault="003A2CEF" w:rsidP="003A2CE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17.08.2026 р. </w:t>
                      </w:r>
                    </w:p>
                    <w:p w:rsidR="003A2CEF" w:rsidRDefault="003A2CEF" w:rsidP="003A2CEF"/>
                    <w:bookmarkEnd w:id="1"/>
                    <w:p w:rsidR="003A2CEF" w:rsidRDefault="003A2CEF" w:rsidP="003A2CE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A7B08" w:rsidRPr="00EA7B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Додаток 1</w:t>
      </w:r>
    </w:p>
    <w:p w:rsidR="00EA7B08" w:rsidRPr="00EA7B08" w:rsidRDefault="00EA7B08" w:rsidP="00EA7B0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EA7B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до </w:t>
      </w:r>
      <w:proofErr w:type="spellStart"/>
      <w:r w:rsidRPr="00EA7B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проєкту</w:t>
      </w:r>
      <w:proofErr w:type="spellEnd"/>
      <w:r w:rsidRPr="00EA7B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рішення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ПОЯСНЮВАЛЬНА ЗАПИСКА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 Звіту про результати проведення моніторингу Стратегії розвитку Боярської міської територіальної громади до 2027 року за 2025 рік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Загальні положення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Пояснювальну записку підготовлено до Звіту про результати проведення моніторингу Стратегії розвитку Боярської міської територіальної громади до 2027 року за 2025 рік (далі – Звіт).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Моніторинг проведено з метою визначення динаміки основних показників, що характеризують реалізацію Стратегії розвитку Боярської міської територіальної громади до 2027 року (далі – Стратегія) та оцінки змін, які відбулися у 2025 році порівняно з базовими значеннями показників станом на 01.01.2025 року.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Порівняльний аналіз проведено за показниками, визначеними у системі моніторингу Стратегії, на підставі інформації, наданої відповідальними структурними підрозділами виконавчого комітету Боярської міської ради, комунальними підприємствами та іншими виконавцями.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результатами проведеного аналізу із 43 показників:</w:t>
      </w:r>
    </w:p>
    <w:p w:rsidR="00F11F68" w:rsidRPr="00F11F68" w:rsidRDefault="00F11F68" w:rsidP="00F11F6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 26 показниками зафіксовано позитивну динаміку порівняно з базовим значенням;</w:t>
      </w:r>
    </w:p>
    <w:p w:rsidR="00F11F68" w:rsidRPr="00F11F68" w:rsidRDefault="00F11F68" w:rsidP="00F11F6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 13 показниками значення залишилися на рівні базового;</w:t>
      </w:r>
    </w:p>
    <w:p w:rsidR="00F11F68" w:rsidRPr="00F11F68" w:rsidRDefault="00F11F68" w:rsidP="00F11F6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 4 показниками зафіксовано відхилення у бік погіршення.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Загалом, результати моніторингу свідчать про </w:t>
      </w: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переважно позитивну динаміку показників у 2025 році</w:t>
      </w: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поступове виконання завдань Стратегії за основними напрямами розвитку громади.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2. Результати моніторингу за стратегічними та оперативними цілями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Стратегічна ціль 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Прозора, згуртована, комфортна для життя громада, яка дбає про розвиток і збереження культурних цінностей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Оперативна ціль 1.1. </w:t>
      </w:r>
      <w:proofErr w:type="spellStart"/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Впізнавана</w:t>
      </w:r>
      <w:proofErr w:type="spellEnd"/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і прозора громада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2025 році спостерігалася позитивна динаміка показника відвідуваності офіційного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вебсайту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Боярської міської ради.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Кількість відвідувань офіційного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вебсайту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зросла з 32 400 у базовому періоді до 62 400 у 2025 році, тобто майже вдвічі.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Зростання відвідуваності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вебсайту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свідчить про підвищення зацікавленості мешканців та інших користувачів інформацією про діяльність громади, прийняті рішення, реалізацію заходів та актуальні події.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2025 році окремий портал відкритих даних не створено у зв'язку з очікуванням типового рішення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Мінцифри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. Водночас доступ до електронних документів та інформації забезпечувався через наявні електронні ресурси, зокрема doc.boiarka-rada.gov.ua.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1.2. Громада взаємної довіри та взаємодопомоги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продовжувалася робота щодо розвитку громадської активності, підтримки громадських ініціатив, соціальної згуртованості та взаємодії між органами місцевого самоврядування, громадськими організаціями, мешканцями, молоддю, волонтерами та представниками бізнесу.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Зокрема, створено громадський простір «Ветеран ПРО» (ГО «Плече побратима») та простір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спільнотворення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«Дача» (БО «Фонд Боярської громади»).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Проведено ярмарок «Урожайний шлях» 30 серпня 2025 року за участю Фонду Боярської громади, Боярської міської ради та ГО «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bo.molodi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», а також благодійний різдвяний ярмарок у грудні 2025 року за ініціативи підприємців громади та підтримки міської ради.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Затверджено новий склад Молодіжної ради при Боярській міській раді, яка є платформою для залучення молоді до громадського життя та реалізації молодіжних ініціатив.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20 вересня 2025 року проведено День міста Боярки із залученням мешканців громади.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Боярська міська територіальна громада стала однією з трьох громад Київської області, залучених до реалізації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«Ветеранські голоси: врахування потреб у стратегіях громад». У межах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проводиться дослідження потреб ветеранів з метою розроблення рекомендацій щодо їх подальшого врахування у стратегічних документах громад.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жовтні 2025 року Боярська громада взяла участь у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ReBuild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Ukraine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2025, представивши громаду потенційним інвесторам та партнерам.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Зазначені заходи сприяли розвитку громадської взаємодії, підтримці ініціатив мешканців, розширенню партнерства та залученню різних груп населення до суспільного життя громади.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1.3. Розумно спланована та комфортна для проживання громада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У 2025 році капітальний ремонт доріг не проводився, водночас виконувалися роботи з поточного та ямкового ремонту дорожнього покриття.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Обсяг виконаних робіт збільшився з 3 850 до 8 765 тис.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кв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. м, що свідчить про збільшення обсягів робіт з поточного утримання дорожньої інфраструктури.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Кількість благоустроєних просторів залишилася на рівні базового значення – 15.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Кількість вулиць, на яких проведено заміну освітлення на LED, також залишилася на рівні базового значення – 4.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Таким чином, за напрямом поточного утримання дорожньої інфраструктури спостерігається позитивна динаміка, тоді як за окремими напрямами благоустрою та модернізації освітлення показники залишилися без змін.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1.4. Громада культури і духовності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спостерігалося збільшення кількості культурних заходів та їх учасників.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Кількість культурних заходів зросла з 656 до 961, тобто на 305 заходів.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Кількість учасників культурних заходів збільшилася з 5 000 до 5 800 осіб.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Позитивна динаміка показників свідчить про активізацію культурного життя громади та збільшення залучення мешканців до культурних заходів.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Стратегічна ціль 2. </w:t>
      </w: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Енергоощадна, цифрова громада, яка підтримує та заохочує розвиток бізнесу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2.1. Громада з розвинутим підприємництвом та сприятливим інвестиційним кліматом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кількість суб'єктів господарювання збільшилася з 7 852 до 7 998, тобто на 146 суб'єктів.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Частка малого та середнього бізнесу збільшилася з 1,6% до 1,7%.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Інвестиційний паспорт громади у 2025 році не розроблено.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Водночас у систему DREAM сектором з управління публічними інвестиціями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внесено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28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2 програми публічних інвестицій,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затверджені</w:t>
      </w: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Стратегічним портфелем публічних інвестицій громади.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Участь громади у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ReBuild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Ukraine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2025 сприяла представленню її потенціалу потенційним інвесторам та партнерам.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Таким чином, у сфері розвитку підприємництва та інвестиційної діяльності у 2025 році здійснювалися заходи, спрямовані на підтримку підприємницької активності та формування передумов для залучення інвестицій.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2.2. Цифрова громада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рівень використання системи електронного документообігу серед працівників виконавчих органів збільшився з 50% до 75%.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Частка обов'язкових наборів даних, оприлюднених на Єдиному державному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вебпорталі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відкритих даних data.gov.ua, досягла 25% порівняно з базовим значенням менше 10%.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Зазначена динаміка свідчить про подальший розвиток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цифровізації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діяльності органів місцевого самоврядування та розширення використання цифрових інструментів.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2.3. Енергоощадна і «зелена» громада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Кількість встановлених енергоощадних світильників у 2025 році збільшилася з 107 до 300 одиниць.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громада посилила співпрацю у сфері енергоефективності та долучилася до відповідних національних та європейських ініціатив.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липні 2025 року Боярська громада стала членом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Association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Energy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Efficient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Cities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Ukraine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червні 2025 року громада долучилася до європейської ініціативи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Covenant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Mayors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East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(«Угода мерів – Схід»).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17 вересня 2025 року в Боярській міській раді відбувся захід за участю представника Фонду енергоефективності, присвячений подальшому розвитку та впровадженню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енергоефективності для ОСББ.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квітні 2025 року працівники виконавчого комітету Боярської міської ради та КП «БМЕСК» взяли участь в інформаційному семінарі щодо управління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проєктами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рамках програми Європейського інвестиційного банку «Енергоефективність громадських будівель в Україні» (UPBEE).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Зазначені заходи сприяли розширенню партнерської взаємодії громади та створенню додаткових можливостей для підготовки і реалізації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сфері енергоефективності.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Стратегічна ціль 3.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Стійка до сучасних викликів, </w:t>
      </w:r>
      <w:proofErr w:type="spellStart"/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безбар’єрна</w:t>
      </w:r>
      <w:proofErr w:type="spellEnd"/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громада, доступ до освіти, спорту, соціальних та медичних послуг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3.1. Громада із чистим довкіллям і адаптована до кліматичних змін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Площа зелених зон у 2025 році збільшилася з 10 до 15,8 га.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Збільшення площі зелених зон є позитивною динамікою у напрямі формування комфортного середовища проживання та розвитку зеленої інфраструктури громади.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3.2. Стійка до сучасних викликів громада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розроблено План цивільного захисту на особливий період та План реагування на надзвичайні ситуації.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Рівень готовності інфраструктури громади до можливих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блекаутів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підвищився з 4 до 5 балів.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наявними даними, 100% об'єктів критичної інфраструктури забезпечено генераторами.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Зазначені результати свідчать про посилення готовності громади до можливих надзвичайних ситуацій та забезпечення функціонування критично важливої інфраструктури.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Оперативна ціль 3.3. Безпечна та </w:t>
      </w:r>
      <w:proofErr w:type="spellStart"/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безбар’єрна</w:t>
      </w:r>
      <w:proofErr w:type="spellEnd"/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громада для кожного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кількість комунальних камер відеоспостереження збільшилася з 3 до 9 одиниць.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Розширення системи відеоспостереження сприяє підвищенню рівня безпеки громадського простору та можливостей оперативного реагування.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3.4. Доступна, якісна, сучасна і адаптивна освіта для всіх вікових, соціальних та економічних груп населення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за основними показниками, що характеризують стан освітньої сфери, спостерігалася позитивна динаміка.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Середня оцінка задоволеності якістю освіти зросла з 64,2% до 70,5%.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Інтегральний показник охоплення освітою збільшився з 6 до 7,8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бала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Індекс сучасності освіти зріс з 43 до 62 балів.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Показник адаптивності освітнього процесу збільшився з 50 до 85 балів.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Позитивна динаміка зазначених показників свідчить про покращення окремих параметрів якості, доступності та адаптивності освітнього процесу.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3.5. Громада молоді, спорту і здорового способу життя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охоплення дітей першого року життя профілактичними оглядами збільшилося з 70% до 90%.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Охоплення жінок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мамографією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зросло з 13% до 20%.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Середня тривалість перебування на лікарняному зменшилася з 14 до 10 днів. Одним із чинників зазначеної динаміки стало впровадження нових протоколів МОЗ.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Зазначені показники свідчать про позитивні зміни за окремими напрямами профілактики та охорони здоров'я.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3.6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Медичні установи надають якісні послуги по якісні послуги по збереженню та відновленню здоров’я</w:t>
      </w:r>
    </w:p>
    <w:p w:rsidR="00B50CAF" w:rsidRPr="00B50CAF" w:rsidRDefault="00B50CAF" w:rsidP="00B50CAF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результатами моніторингу у 2025 році за показниками, що характеризують доступність та якість медичних послуг, спостерігалася позитивна динаміка.</w:t>
      </w:r>
    </w:p>
    <w:p w:rsidR="00B50CAF" w:rsidRPr="00B50CAF" w:rsidRDefault="00B50CAF" w:rsidP="00B50CAF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Охоплення дітей першого року життя профілактичними оглядами збільшилося з </w:t>
      </w:r>
      <w:r w:rsidRPr="00B50C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70% до 90%</w:t>
      </w: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свідчить про підвищення рівня охоплення дітей профілактичними медичними оглядами.</w:t>
      </w:r>
    </w:p>
    <w:p w:rsidR="00B50CAF" w:rsidRPr="00B50CAF" w:rsidRDefault="00B50CAF" w:rsidP="00B50CAF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Охоплення жінок </w:t>
      </w:r>
      <w:proofErr w:type="spellStart"/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>мамографією</w:t>
      </w:r>
      <w:proofErr w:type="spellEnd"/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зросло з </w:t>
      </w:r>
      <w:r w:rsidRPr="00B50C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13% до 20%</w:t>
      </w: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свідчить про розширення охоплення населення профілактичними обстеженнями.</w:t>
      </w:r>
    </w:p>
    <w:p w:rsidR="00B50CAF" w:rsidRPr="00B50CAF" w:rsidRDefault="00B50CAF" w:rsidP="00B50CAF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Середня тривалість перебування на лікарняному зменшилася з </w:t>
      </w:r>
      <w:r w:rsidRPr="00B50C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14 до 10 днів</w:t>
      </w: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>. За наданою інформацією, одним із чинників зазначеної динаміки стало впровадження нових протоколів МОЗ.</w:t>
      </w:r>
    </w:p>
    <w:p w:rsidR="00B50CAF" w:rsidRPr="00B50CAF" w:rsidRDefault="00B50CAF" w:rsidP="00B50CAF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Загалом наведені показники свідчать про </w:t>
      </w:r>
      <w:r w:rsidRPr="00B50C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позитивну динаміку окремих напрямів медичного обслуговування та профілактики захворювань у громаді</w:t>
      </w: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50CAF" w:rsidRPr="00B50CAF" w:rsidRDefault="00B50CAF" w:rsidP="00B50CAF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 цьому для подальшого моніторингу доцільно зберігати зазначені показники та, за можливості, доповнювати їх показниками, які характеризують доступність медичних послуг, задоволеність мешканців якістю медичного обслуговування та ефективність профілактичних заходів.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3.7. Соціальні послуги та соціальне забезпечення доступне для кожного в громаді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кількість отримувачів соціальних послуг збільшилася з 2 182 до 2 919 осіб.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Зростання кількості отримувачів соціальних послуг пов'язане, зокрема, з необхідністю забезпечення підтримки внутрішньо переміщених осіб та інших категорій населення, які потребують соціальної допомоги.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Частка населення, яке має доступ до соціальних послуг, збільшилася з 75% до 90%.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Обсяг фінансування соціальної підтримки зріс з 36,0 млн грн до 40,78 млн грн.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Кількість дитячих будинків сімейного типу збільшилася з 0 до 4.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Зазначена динаміка свідчить про розширення доступу мешканців громади до соціальної підтримки та збільшення ресурсів, спрямованих на забезпечення соціальних послуг.</w:t>
      </w:r>
    </w:p>
    <w:p w:rsidR="00706696" w:rsidRPr="00706696" w:rsidRDefault="00706696" w:rsidP="0070669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0669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Моніторинг наслідків виконання Стратегії для довкілля, у тому числі для здоров’я населення</w:t>
      </w:r>
    </w:p>
    <w:p w:rsidR="00706696" w:rsidRPr="00706696" w:rsidRDefault="00706696" w:rsidP="007066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0669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 звіту про стратегічну екологічну оцінку Стратегії розвитку Боярської міської територіальної громади до 2027 року визначено показники, за якими здійснюється моніторинг наслідків реалізації Стратегії для довкілля, у тому числі для здоров’я населення.</w:t>
      </w:r>
    </w:p>
    <w:p w:rsidR="00706696" w:rsidRPr="00706696" w:rsidRDefault="00706696" w:rsidP="007066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06696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Частину показників, визначених у звіті про стратегічну екологічну оцінку, враховано у системі показників моніторингу реалізації Стратегії. У зв’язку з цим оцінювання відповідних змін та можливих наслідків реалізації Стратегії для довкілля, у тому числі для здоров’я населення, здійснювалося в межах загального моніторингу реалізації Стратегії за 2025 рік.</w:t>
      </w:r>
    </w:p>
    <w:p w:rsidR="00706696" w:rsidRPr="00706696" w:rsidRDefault="00706696" w:rsidP="007066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066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результатами аналізу наявних даних за відповідними показниками </w:t>
      </w:r>
      <w:r w:rsidRPr="0070669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негативної динаміки, яка б свідчила про погіршення стану довкілля або негативний вплив реалізації Стратегії на здоров’я населення, не виявлено</w:t>
      </w:r>
      <w:r w:rsidRPr="0070669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06696" w:rsidRPr="00706696" w:rsidRDefault="00706696" w:rsidP="007066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066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Разом з тим, з метою забезпечення системного спостереження за можливими наслідками реалізації Стратегії, доцільно продовжити моніторинг визначених показників та, за необхідності, удосконалювати їх перелік з урахуванням актуальних екологічних, соціальних та </w:t>
      </w:r>
      <w:proofErr w:type="spellStart"/>
      <w:r w:rsidRPr="00706696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безпекових</w:t>
      </w:r>
      <w:proofErr w:type="spellEnd"/>
      <w:r w:rsidRPr="007066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умов громади.</w:t>
      </w:r>
    </w:p>
    <w:p w:rsidR="00F11F68" w:rsidRPr="00F11F68" w:rsidRDefault="00706696" w:rsidP="00B50CA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4</w:t>
      </w:r>
      <w:r w:rsidR="00F11F68" w:rsidRPr="00F11F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. Основні чинники, що впливали на реалізацію Стратегії</w:t>
      </w:r>
    </w:p>
    <w:p w:rsidR="00F11F68" w:rsidRPr="00F11F68" w:rsidRDefault="00F11F68" w:rsidP="00B50CA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На результати реалізації Стратегії у 2025 році впливали як позитивні, так і стримуючі чинники.</w:t>
      </w:r>
    </w:p>
    <w:p w:rsidR="00F11F68" w:rsidRPr="00F11F68" w:rsidRDefault="00F11F68" w:rsidP="00B50C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До позитивних чинників належать:</w:t>
      </w:r>
    </w:p>
    <w:p w:rsidR="00F11F68" w:rsidRPr="00F11F68" w:rsidRDefault="00F11F68" w:rsidP="00B50CA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активна взаємодія органів місцевого самоврядування з громадськими організаціями, мешканцями, міжнародними партнерами та представниками бізнесу;</w:t>
      </w:r>
    </w:p>
    <w:p w:rsidR="00F11F68" w:rsidRPr="00F11F68" w:rsidRDefault="00F11F68" w:rsidP="00B50CA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участь громади у національних та міжнародних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проєктах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F11F68" w:rsidRPr="00F11F68" w:rsidRDefault="00F11F68" w:rsidP="00B50CA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цифрових сервісів;</w:t>
      </w:r>
    </w:p>
    <w:p w:rsidR="00F11F68" w:rsidRPr="00F11F68" w:rsidRDefault="00F11F68" w:rsidP="00B50CA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розширення партнерства у сфері енергоефективності;</w:t>
      </w:r>
    </w:p>
    <w:p w:rsidR="00F11F68" w:rsidRPr="00F11F68" w:rsidRDefault="00F11F68" w:rsidP="00B50CA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пошук та залучення додаткових ресурсів для реалізації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розвитку;</w:t>
      </w:r>
    </w:p>
    <w:p w:rsidR="00F11F68" w:rsidRPr="00F11F68" w:rsidRDefault="00F11F68" w:rsidP="00B50CA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активізація громадських та культурних ініціатив.</w:t>
      </w:r>
    </w:p>
    <w:p w:rsidR="00EA7B08" w:rsidRDefault="00EA7B08" w:rsidP="00B50CA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11F68" w:rsidRPr="00F11F68" w:rsidRDefault="00F11F68" w:rsidP="00B50CA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 основних чинників, що стримували реалізацію окремих заходів та впливали на динаміку показників, слід зазначити:</w:t>
      </w:r>
    </w:p>
    <w:p w:rsidR="00F11F68" w:rsidRPr="00F11F68" w:rsidRDefault="00F11F68" w:rsidP="00B50CA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обмеженість фінансових ресурсів місцевого бюджету;</w:t>
      </w:r>
    </w:p>
    <w:p w:rsidR="00F11F68" w:rsidRPr="00F11F68" w:rsidRDefault="00F11F68" w:rsidP="00B50CA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необхідність першочергового спрямування бюджетних коштів на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безпекові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соціальні потреби;</w:t>
      </w:r>
    </w:p>
    <w:p w:rsidR="00F11F68" w:rsidRPr="00F11F68" w:rsidRDefault="00F11F68" w:rsidP="00B50CA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воєнного стану;</w:t>
      </w:r>
    </w:p>
    <w:p w:rsidR="00F11F68" w:rsidRPr="00F11F68" w:rsidRDefault="00F11F68" w:rsidP="00B50CA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необхідність залучення додаткових зовнішніх ресурсів для реалізації капітальних та інфраструктурних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F11F68" w:rsidRDefault="00F11F68" w:rsidP="00B50CA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відсутність актуальних даних за окремими показниками.</w:t>
      </w:r>
    </w:p>
    <w:p w:rsidR="00B50CAF" w:rsidRPr="00486951" w:rsidRDefault="00B50CAF" w:rsidP="00B5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48695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Начальник відділу економічного аналізу</w:t>
      </w:r>
    </w:p>
    <w:p w:rsidR="00B50CAF" w:rsidRPr="00486951" w:rsidRDefault="00B50CAF" w:rsidP="00B5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48695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та стратегічного планування</w:t>
      </w:r>
      <w:r w:rsidRPr="0048695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48695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48695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48695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48695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48695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  <w:t>Алла ЛІЩУК</w:t>
      </w:r>
    </w:p>
    <w:p w:rsidR="00B50CAF" w:rsidRPr="00F11F68" w:rsidRDefault="00B50CAF" w:rsidP="00B50C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B50CAF" w:rsidRPr="00F11F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243"/>
    <w:multiLevelType w:val="multilevel"/>
    <w:tmpl w:val="8ED8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073C8"/>
    <w:multiLevelType w:val="multilevel"/>
    <w:tmpl w:val="2520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A5291"/>
    <w:multiLevelType w:val="multilevel"/>
    <w:tmpl w:val="78A0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52E61"/>
    <w:multiLevelType w:val="multilevel"/>
    <w:tmpl w:val="1518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7199D"/>
    <w:multiLevelType w:val="multilevel"/>
    <w:tmpl w:val="A2A0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2E4760"/>
    <w:multiLevelType w:val="multilevel"/>
    <w:tmpl w:val="C62C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65386"/>
    <w:multiLevelType w:val="multilevel"/>
    <w:tmpl w:val="2786A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567585"/>
    <w:multiLevelType w:val="multilevel"/>
    <w:tmpl w:val="65DAF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4B4AE8"/>
    <w:multiLevelType w:val="multilevel"/>
    <w:tmpl w:val="E80C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F209DE"/>
    <w:multiLevelType w:val="multilevel"/>
    <w:tmpl w:val="709A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4F0FC8"/>
    <w:multiLevelType w:val="multilevel"/>
    <w:tmpl w:val="338E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C4508E"/>
    <w:multiLevelType w:val="multilevel"/>
    <w:tmpl w:val="19C88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C10B27"/>
    <w:multiLevelType w:val="multilevel"/>
    <w:tmpl w:val="076A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4F6D3D"/>
    <w:multiLevelType w:val="multilevel"/>
    <w:tmpl w:val="3B82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0321C6"/>
    <w:multiLevelType w:val="multilevel"/>
    <w:tmpl w:val="B9D4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943303"/>
    <w:multiLevelType w:val="multilevel"/>
    <w:tmpl w:val="92AE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7330F9"/>
    <w:multiLevelType w:val="multilevel"/>
    <w:tmpl w:val="D5FA5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150F07"/>
    <w:multiLevelType w:val="multilevel"/>
    <w:tmpl w:val="485432F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4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5"/>
  </w:num>
  <w:num w:numId="9">
    <w:abstractNumId w:val="5"/>
  </w:num>
  <w:num w:numId="10">
    <w:abstractNumId w:val="16"/>
  </w:num>
  <w:num w:numId="11">
    <w:abstractNumId w:val="8"/>
  </w:num>
  <w:num w:numId="12">
    <w:abstractNumId w:val="12"/>
  </w:num>
  <w:num w:numId="13">
    <w:abstractNumId w:val="7"/>
  </w:num>
  <w:num w:numId="14">
    <w:abstractNumId w:val="13"/>
  </w:num>
  <w:num w:numId="15">
    <w:abstractNumId w:val="2"/>
  </w:num>
  <w:num w:numId="16">
    <w:abstractNumId w:val="9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32"/>
    <w:rsid w:val="0022675A"/>
    <w:rsid w:val="003A2CEF"/>
    <w:rsid w:val="00486951"/>
    <w:rsid w:val="00574E35"/>
    <w:rsid w:val="005E2BBA"/>
    <w:rsid w:val="00706696"/>
    <w:rsid w:val="009D5654"/>
    <w:rsid w:val="00A51832"/>
    <w:rsid w:val="00B208F3"/>
    <w:rsid w:val="00B50CAF"/>
    <w:rsid w:val="00C51EF2"/>
    <w:rsid w:val="00CB7BBB"/>
    <w:rsid w:val="00D74AD5"/>
    <w:rsid w:val="00EA7B08"/>
    <w:rsid w:val="00F11F68"/>
    <w:rsid w:val="00FB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21B42-4BA2-4502-B67B-D5DDE719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CEF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BBA"/>
    <w:pPr>
      <w:spacing w:after="160" w:line="259" w:lineRule="auto"/>
      <w:ind w:left="720"/>
      <w:contextualSpacing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EA7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7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0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8</Pages>
  <Words>9028</Words>
  <Characters>5146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Ліщук</dc:creator>
  <cp:keywords/>
  <dc:description/>
  <cp:lastModifiedBy>Марина Кляпка</cp:lastModifiedBy>
  <cp:revision>5</cp:revision>
  <cp:lastPrinted>2026-08-17T08:02:00Z</cp:lastPrinted>
  <dcterms:created xsi:type="dcterms:W3CDTF">2026-08-17T05:51:00Z</dcterms:created>
  <dcterms:modified xsi:type="dcterms:W3CDTF">2026-08-18T11:05:00Z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f4d4f55d-e563-45d3-9179-49110395718b</vt:lpwstr>
  </property>
</Properties>
</file>