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3D2" w:rsidRDefault="004B31A1" w:rsidP="00CA63D2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814704</wp:posOffset>
                </wp:positionH>
                <wp:positionV relativeFrom="paragraph">
                  <wp:posOffset>-254000</wp:posOffset>
                </wp:positionV>
                <wp:extent cx="1171575" cy="9144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31A1" w:rsidRDefault="004B31A1" w:rsidP="004B31A1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hAnsi="Times New Roman" w:cs="Times New Roman"/>
                              </w:rPr>
                              <w:t>Проект</w:t>
                            </w:r>
                          </w:p>
                          <w:p w:rsidR="004B31A1" w:rsidRDefault="004B31A1" w:rsidP="004B31A1">
                            <w:pPr>
                              <w:spacing w:after="0"/>
                              <w:jc w:val="center"/>
                              <w:rPr>
                                <w:rFonts w:ascii="Times New Roman" w:eastAsia="Calibri" w:hAnsi="Times New Roman" w:cs="Times New Roman"/>
                                <w:lang w:val="uk-UA"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01-03/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184</w:t>
                            </w:r>
                          </w:p>
                          <w:p w:rsidR="004B31A1" w:rsidRDefault="004B31A1" w:rsidP="004B31A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17.08.2026 р. </w:t>
                            </w:r>
                          </w:p>
                          <w:p w:rsidR="004B31A1" w:rsidRDefault="004B31A1" w:rsidP="004B31A1"/>
                          <w:bookmarkEnd w:id="0"/>
                          <w:p w:rsidR="004B31A1" w:rsidRDefault="004B31A1" w:rsidP="004B31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" o:spid="_x0000_s1026" style="position:absolute;left:0;text-align:left;margin-left:64.15pt;margin-top:-20pt;width:92.2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cqHiAIAACYFAAAOAAAAZHJzL2Uyb0RvYy54bWysVM1u1DAQviPxDpbvNJtVS2HVbLVqVYRU&#10;lYoW9ex17G6E7TG2d5PlhMQViUfgIbggfvoM2Tdi7GTTqlQcEBfHk5lvfr/xwWGjFVkJ5yswBc13&#10;RpQIw6GszHVB31yePHlGiQ/MlEyBEQVdC08Pp48fHdR2IsawAFUKR9CJ8ZPaFnQRgp1kmecLoZnf&#10;ASsMKiU4zQKK7jorHavRu1bZeDR6mtXgSuuAC+/x73GnpNPkX0rBwyspvQhEFRRzC+l06ZzHM5se&#10;sMm1Y3ZR8T4N9g9ZaFYZDDq4OmaBkaWr/nClK+7Agww7HHQGUlZcpBqwmnx0r5qLBbMi1YLN8XZo&#10;k/9/bvnZ6tyRqsTZUWKYxhG1XzYfNp/bn+3N5mP7tb1pf2w+tb/ab+13ksd+1dZPEHZhz10vebzG&#10;4hvpdPxiWaRJPV4PPRZNIBx/5vl+vre/RwlH3fN8d3eUhpDdoq3z4YUATeKloA5nmFrLVqc+YEQ0&#10;3ZqgELPp4qdbWCsRU1DmtZBYF0YcJ3RilDhSjqwYcqF8m2pBX8kyQmSl1ADKHwKpsAX1thEmEssG&#10;4Ogh4G20wTpFBBMGoK4MuL+DZWe/rbqrNZYdmnnTz2IO5Ron6qCjurf8pMI+njIfzplDbuMW4L6G&#10;V3hIBXVBob9RsgD3/qH/0R4ph1pKatyVgvp3S+YEJeqlQTKmMeJyJWF3b3+MMdxdzfyuxiz1EeAI&#10;kHCYXbpG+6C2V+lAX+Faz2JUVDHDMXZBeXBb4Sh0O4wPAxezWTLDhbIsnJoLy6Pz2ODIk8vmijnb&#10;kykgDc9gu1dsco9TnW1EGpgtA8gqES62uOtr33pcxsTD/uGI235XTla3z9v0NwAAAP//AwBQSwME&#10;FAAGAAgAAAAhAMl+YJ3eAAAACwEAAA8AAABkcnMvZG93bnJldi54bWxMj8FOwzAQRO9I/IO1SNxa&#10;m7YqJcSpKgQnEBWFA0c3XpIIex3ZbpL+PcsJjrMzmn1TbifvxIAxdYE03MwVCKQ62I4aDR/vT7MN&#10;iJQNWeMCoYYzJthWlxelKWwY6Q2HQ24El1AqjIY2576QMtUtepPmoUdi7ytEbzLL2Egbzcjl3smF&#10;UmvpTUf8oTU9PrRYfx9OXkPYd2e3i3evwwvefj7vsxqn9aPW11fT7h5Exin/heEXn9GhYqZjOJFN&#10;wrFebJYc1TBbKR7FiSWfQBzZUisFsirl/w3VDwAAAP//AwBQSwECLQAUAAYACAAAACEAtoM4kv4A&#10;AADhAQAAEwAAAAAAAAAAAAAAAAAAAAAAW0NvbnRlbnRfVHlwZXNdLnhtbFBLAQItABQABgAIAAAA&#10;IQA4/SH/1gAAAJQBAAALAAAAAAAAAAAAAAAAAC8BAABfcmVscy8ucmVsc1BLAQItABQABgAIAAAA&#10;IQD72cqHiAIAACYFAAAOAAAAAAAAAAAAAAAAAC4CAABkcnMvZTJvRG9jLnhtbFBLAQItABQABgAI&#10;AAAAIQDJfmCd3gAAAAsBAAAPAAAAAAAAAAAAAAAAAOIEAABkcnMvZG93bnJldi54bWxQSwUGAAAA&#10;AAQABADzAAAA7QUAAAAA&#10;" fillcolor="white [3201]" strokecolor="black [3200]" strokeweight="1pt">
                <v:textbox>
                  <w:txbxContent>
                    <w:p w:rsidR="004B31A1" w:rsidRDefault="004B31A1" w:rsidP="004B31A1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bookmarkStart w:id="1" w:name="_GoBack"/>
                      <w:r>
                        <w:rPr>
                          <w:rFonts w:ascii="Times New Roman" w:hAnsi="Times New Roman" w:cs="Times New Roman"/>
                        </w:rPr>
                        <w:t>Проект</w:t>
                      </w:r>
                    </w:p>
                    <w:p w:rsidR="004B31A1" w:rsidRDefault="004B31A1" w:rsidP="004B31A1">
                      <w:pPr>
                        <w:spacing w:after="0"/>
                        <w:jc w:val="center"/>
                        <w:rPr>
                          <w:rFonts w:ascii="Times New Roman" w:eastAsia="Calibri" w:hAnsi="Times New Roman" w:cs="Times New Roman"/>
                          <w:lang w:val="uk-UA"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01-03/</w:t>
                      </w: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184</w:t>
                      </w:r>
                    </w:p>
                    <w:p w:rsidR="004B31A1" w:rsidRDefault="004B31A1" w:rsidP="004B31A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17.08.2026 р. </w:t>
                      </w:r>
                    </w:p>
                    <w:p w:rsidR="004B31A1" w:rsidRDefault="004B31A1" w:rsidP="004B31A1"/>
                    <w:bookmarkEnd w:id="1"/>
                    <w:p w:rsidR="004B31A1" w:rsidRDefault="004B31A1" w:rsidP="004B31A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A63D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Додаток 3</w:t>
      </w:r>
    </w:p>
    <w:p w:rsidR="00CA63D2" w:rsidRDefault="00CA63D2" w:rsidP="00CA63D2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до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рішення</w:t>
      </w:r>
    </w:p>
    <w:p w:rsidR="0081591F" w:rsidRPr="0081591F" w:rsidRDefault="0081591F" w:rsidP="0081591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ПОЯСНЮВАЛЬНА ЗАПИСКА</w:t>
      </w:r>
    </w:p>
    <w:p w:rsidR="0081591F" w:rsidRPr="0081591F" w:rsidRDefault="0081591F" w:rsidP="008159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 Звіту про результати проведення моніторингу Плану заходів на 2025–2027 роки з реалізації Стратегії розвитку Боярської міської територіальної громади до 2027 року за І півріччя 2026 року</w:t>
      </w:r>
    </w:p>
    <w:p w:rsidR="0081591F" w:rsidRPr="0081591F" w:rsidRDefault="0081591F" w:rsidP="0081591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Загальні положення</w:t>
      </w:r>
    </w:p>
    <w:p w:rsidR="0081591F" w:rsidRPr="0081591F" w:rsidRDefault="0081591F" w:rsidP="008159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Пояснювальну записку підготовлено до Звіту про результати проведення моніторингу Плану заходів на 2025–2027 роки з реалізації Стратегії розвитку Боярської міської територіальної громади до 2027 року (далі – План заходів) за І півріччя 2026 року.</w:t>
      </w:r>
    </w:p>
    <w:p w:rsidR="0081591F" w:rsidRPr="0081591F" w:rsidRDefault="0081591F" w:rsidP="008159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Моніторинг проведено з метою оцінки стану реалізації передбачених Планом заходів </w:t>
      </w:r>
      <w:proofErr w:type="spellStart"/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проєктів</w:t>
      </w:r>
      <w:proofErr w:type="spellEnd"/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місцевого розвитку, місцевих програм та організаційних заходів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, визначення фактичних результатів їх виконання, стану фінансування, виявлення проблем та чинників, що впливають на досягнення запланованих результатів, а також визначення пріоритетів подальшої реалізації Стратегії.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Інформацію для проведення моніторингу надано відповідальними структурними підрозділами Боярської міської ради, комунальними підприємствами, установами та іншими виконавцями Плану заходів.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За результатами моніторингу оцінено стан реалізації передбачених Планом заходів у розрізі стратегічних та оперативних цілей Стратегії розвитку Боярської міської територіальної громади до 2027 року.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Реалізація Плану заходів у звітному періоді здійснювалася в умовах воєнного стану, обмеженості фінансових ресурсів місцевого бюджету та необхідності першочергового забезпечення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безпекових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соціальних і критично важливих потреб громади. Зазначені обставини вплинули на строки та можливість реалізації окремих інфраструктурних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проєктів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, особливо тих, що потребують значних капітальних видатків, залучення коштів державного бюджету, міжнародної технічної допомоги або інших зовнішніх джерел.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Водночас моніторинг свідчить, що за значною кількістю напрямів робота продовжувалася шляхом виконання поточних заходів, підготовки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проєктно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-кошторисної документації, пошуку фінансування, подання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проєктних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заявок, залучення міжнародних партнерів, інформаційної та консультаційної підтримки населення і бізнесу.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Важливою особливістю моніторингу є те, що оцінювання проводилося не лише за фактом завершення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проєкту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а й за досягненням відповідних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індикаторів та показників результативності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, передбачених Планом заходів.</w:t>
      </w:r>
    </w:p>
    <w:p w:rsidR="0081591F" w:rsidRPr="0081591F" w:rsidRDefault="00F61DDC" w:rsidP="0081591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lastRenderedPageBreak/>
        <w:t>2</w:t>
      </w:r>
      <w:r w:rsidR="0081591F" w:rsidRPr="008159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. Результати реалізації Плану заходів у розрізі стратегічних цілей</w:t>
      </w:r>
    </w:p>
    <w:p w:rsidR="0081591F" w:rsidRPr="0081591F" w:rsidRDefault="0081591F" w:rsidP="004C112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Стратегічна ціль 1«Прозора, згуртована, комфортна для життя громада, яка дбає про розвиток і збереження культурних цінностей»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У межах Стратегічної цілі 1 реалізація Плану заходів здійснювалася за оперативними цілями:</w:t>
      </w:r>
    </w:p>
    <w:p w:rsidR="0081591F" w:rsidRPr="0081591F" w:rsidRDefault="0081591F" w:rsidP="0081591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1.1 –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Впізнавана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прозора громада; </w:t>
      </w:r>
    </w:p>
    <w:p w:rsidR="0081591F" w:rsidRPr="0081591F" w:rsidRDefault="0081591F" w:rsidP="0081591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1.2 – Громада взаємної довіри та взаємодопомоги; </w:t>
      </w:r>
    </w:p>
    <w:p w:rsidR="0081591F" w:rsidRPr="0081591F" w:rsidRDefault="0081591F" w:rsidP="0081591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1.3 – Розумно спланована та комфортна для проживання громада; </w:t>
      </w:r>
    </w:p>
    <w:p w:rsidR="0081591F" w:rsidRPr="0081591F" w:rsidRDefault="0081591F" w:rsidP="0081591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1.4 – Громада культури і духовності. </w:t>
      </w:r>
    </w:p>
    <w:p w:rsidR="0081591F" w:rsidRPr="0081591F" w:rsidRDefault="0081591F" w:rsidP="0081591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Відкритість, прозорість та </w:t>
      </w:r>
      <w:proofErr w:type="spellStart"/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цифровізація</w:t>
      </w:r>
      <w:proofErr w:type="spellEnd"/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У І півріччі 2026 року продовжувалася робота щодо забезпечення відкритості діяльності органів місцевого самоврядування та розвитку цифрових інструментів.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Єдиному державному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вебпорталі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відкритих даних опубліковано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 наборів із 43 затверджених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що становить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47 %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Проведено атестацію посадових осіб місцевого самоврядування та розроблено індивідуальні програми професійного розвитку.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90 % посадових осіб виконавчого комітету Боярської міської ради пройшли у І півріччі 2026 року навчання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програмами НАДС та інших освітніх платформ.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Проведено навчальні заходи з питань штучного інтелекту та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кібербезпеки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. Окремі структурні підрозділи забезпечені інструментами на основі штучного інтелекту для підвищення ефективності виконання службових завдань.</w:t>
      </w:r>
    </w:p>
    <w:p w:rsidR="0081591F" w:rsidRPr="0081591F" w:rsidRDefault="0081591F" w:rsidP="0081591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Доброчесність та антикорупційна політика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Навчальний курс для активних мешканців громади з питань доброчесності та управління корупційними ризиками у звітному періоді не створено.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Водночас інформаційно-просвітницька робота продовжувалася. У І півріччі 2026 року на сайті Боярської міської ради розміщено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 освітні матеріали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питань доброчесності та запобігання корупції, мешканців ознайомлено з інтерактивними інформаційними матеріалами та рекомендаціями щодо здійснення громадського контролю.</w:t>
      </w:r>
    </w:p>
    <w:p w:rsidR="0081591F" w:rsidRPr="0081591F" w:rsidRDefault="0081591F" w:rsidP="0081591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Громадська участь та взаємодія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Окремі заходи щодо розвитку громадянського суспільства, волонтерської діяльності та актуалізації інформації про громадські організації виконувалися частково або залишалися на стадії підготовки.</w:t>
      </w:r>
    </w:p>
    <w:p w:rsidR="0081591F" w:rsidRPr="0081591F" w:rsidRDefault="00437704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П</w:t>
      </w:r>
      <w:r w:rsidR="0081591F"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родовжувалося функціонування громадських просторів, створених у попередні періоди, які використовувалися для проведення заходів та взаємодії мешканців громади.</w:t>
      </w:r>
    </w:p>
    <w:p w:rsidR="0081591F" w:rsidRPr="0081591F" w:rsidRDefault="0081591F" w:rsidP="0081591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Просторовий розвиток та комфортне середовище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У сфері містобудування продовжувалося розроблення генеральних планів та детальних планів територій.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Розпочато процедури щодо розроблення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7 детальних планів територій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розміщення промислових, логістичних, спортивних та інших об’єктів.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Виконується робота з розроблення концепції інтегрованого розвитку Боярської міської територіальної громади; за відповідним заходом зазначено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50 % виконання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стадії завершення перебував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нового будівництва майданчика для стоянки транспортних засобів біля платформи залізничної станції «Тарасівка».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Забезпечувалося утримання об’єктів благоустрою, дорожньої інфраструктури та громадських просторів.</w:t>
      </w:r>
    </w:p>
    <w:p w:rsidR="0081591F" w:rsidRPr="0081591F" w:rsidRDefault="0081591F" w:rsidP="0081591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Міжнародне та міжмуніципальне співробітництво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Одним із найбільш результативних напрямів Стратегічної цілі 1 стало розширення міжнародного співробітництва.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Досягнуто домовленостей із містом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Райнбек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(Німеччина) щодо налагодження співробітництва між закладами освіти та обміну досвідом. Міський голова О. Зарубін відвідав місто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Штендаль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(Німеччина) як потенційного партнера громади.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Представники виконавчого комітету Боярської міської ради взяли участь у міжнародних заходах та навчальних візитах до Словенії, Молдови, Італії та Норвегії.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Боярська громада представила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3 </w:t>
      </w:r>
      <w:proofErr w:type="spellStart"/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проєкти</w:t>
      </w:r>
      <w:proofErr w:type="spellEnd"/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на Конференції з відновлення України URC2026 у Гданську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, що було спрямовано на пошук міжнародних партнерів та донорів.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Представники громади взяли участь у форумі Стратегії ЄС для регіону Балтійського моря (EUSBSR) та засіданні Виконавчого комітету Об’єднання Балтійських міст (UBC), за результатами чого Боярська громада отримала статус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Асоційованого члена UBC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Проведено робочі зустрічі з представниками бельгійської агенції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Enabel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участю БФ «Пацієнти України» щодо розвитку медичної галузі громади.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Також підписано Угоду про тристороннє партнерство між громадами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Нерінга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(Литва), Боярка та Коблево.</w:t>
      </w:r>
    </w:p>
    <w:p w:rsidR="0081591F" w:rsidRPr="0081591F" w:rsidRDefault="0081591F" w:rsidP="0081591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Інформаційна комунікація та промоція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І півріччі 2026 року на офіційній сторінці Боярської міської ради у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Facebook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кількість нових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підписників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становила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783 особи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загальна кількість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підписників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8 509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кількість переглядів –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3,4 млн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кількість унікальних глядачів –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350,1 тис.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взаємодій із контентом –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57 407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За звітний період опубліковано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884 інформаційні матеріали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Промоційна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продукція та символіка Боярської міської територіальної громади були представлені більш ніж на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15 міжнародних заходах за кордоном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, а також під час численних заходів в Україні.</w:t>
      </w:r>
    </w:p>
    <w:p w:rsidR="0081591F" w:rsidRPr="0081591F" w:rsidRDefault="0081591F" w:rsidP="0081591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Культура та збереження історичної пам’яті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У сфері культури продовжувалася робота щодо збереження та популяризації культурної спадщини громади.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Заходи щодо дослідження нематеріальної культурної спадщини реалізовувалися; у моніторингових таблицях зазначено результат –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Водночас визначення місць розташування та встановлення стендів для проведення вуличних виставок митців громади у звітному періоді не реалізовано.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Окремим напрямом залишалося збереження історичної пам’яті та вшанування Захисників і Захисниць України.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І півріччі 2026 року проведено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37 поховань військовослужбовців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відкрито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 Алеї пам’яті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проведено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9 меморіальних і пам’ятних заходів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1591F" w:rsidRDefault="0081591F" w:rsidP="000B6A1C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Стратегічна ціль 2</w:t>
      </w:r>
      <w:r w:rsidR="000B6A1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«Енергоощадна, цифрова громада, яка підтримує та заохочує розвиток бізнесу»</w:t>
      </w:r>
    </w:p>
    <w:p w:rsidR="00437704" w:rsidRPr="0081591F" w:rsidRDefault="00437704" w:rsidP="00437704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 межах Стратегічної цілі 2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реалізація Плану заходів здійснювалася за оперативними цілями:</w:t>
      </w:r>
    </w:p>
    <w:p w:rsidR="00437704" w:rsidRPr="00437704" w:rsidRDefault="00437704" w:rsidP="00437704">
      <w:pPr>
        <w:pStyle w:val="a3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37704">
        <w:rPr>
          <w:rFonts w:ascii="Times New Roman" w:eastAsia="Times New Roman" w:hAnsi="Times New Roman" w:cs="Times New Roman"/>
          <w:sz w:val="28"/>
          <w:szCs w:val="28"/>
          <w:lang w:eastAsia="uk-UA"/>
        </w:rPr>
        <w:t>2.1 – Громада з розвинутим підприємництвом та сприятливим інвестиційним кліматом</w:t>
      </w:r>
    </w:p>
    <w:p w:rsidR="00437704" w:rsidRPr="00437704" w:rsidRDefault="00437704" w:rsidP="00437704">
      <w:pPr>
        <w:pStyle w:val="a3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37704">
        <w:rPr>
          <w:rFonts w:ascii="Times New Roman" w:eastAsia="Times New Roman" w:hAnsi="Times New Roman" w:cs="Times New Roman"/>
          <w:sz w:val="28"/>
          <w:szCs w:val="28"/>
          <w:lang w:eastAsia="uk-UA"/>
        </w:rPr>
        <w:t>2.2 – Цифрова громада</w:t>
      </w:r>
    </w:p>
    <w:p w:rsidR="00437704" w:rsidRPr="00437704" w:rsidRDefault="00437704" w:rsidP="00437704">
      <w:pPr>
        <w:pStyle w:val="a3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37704">
        <w:rPr>
          <w:rFonts w:ascii="Times New Roman" w:eastAsia="Times New Roman" w:hAnsi="Times New Roman" w:cs="Times New Roman"/>
          <w:sz w:val="28"/>
          <w:szCs w:val="28"/>
          <w:lang w:eastAsia="uk-UA"/>
        </w:rPr>
        <w:t>2.3 –Енергоощадна і «зелена» громада</w:t>
      </w:r>
    </w:p>
    <w:p w:rsidR="0081591F" w:rsidRPr="0081591F" w:rsidRDefault="0081591F" w:rsidP="00437704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Підприємництво та інвестиційна діяльність</w:t>
      </w:r>
    </w:p>
    <w:p w:rsidR="0081591F" w:rsidRPr="0081591F" w:rsidRDefault="0081591F" w:rsidP="004C11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У межах Програми розвитку мікро-, малого та середнього підприємництва у Боярській міській територіальній громаді здійснювалося інформаційне та консультаційне супроводження суб’єктів господарювання.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І півріччі 2026 року на офіційному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вебсайті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Боярської міської ради розміщено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19 інформаційних матеріалів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щодо грантових можливостей, навчання, конкурсів та інших інструментів підтримки бізнесу, а також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12 публікацій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сторінці Управління міжнародного співробітництва, економічного аналізу та стратегічних комунікацій.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Проведено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17 зустрічей «П’ятниця з мером»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під час яких, зокрема, забезпечувалася комунікація з представниками бізнесу. Надано консультації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25 підприємцям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 системи DREAM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внесено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13 інвестиційних </w:t>
      </w:r>
      <w:proofErr w:type="spellStart"/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проєктів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з яких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2 включено до Єдиного </w:t>
      </w:r>
      <w:proofErr w:type="spellStart"/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проєктного</w:t>
      </w:r>
      <w:proofErr w:type="spellEnd"/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портфеля громади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Водночас інвестиційний паспорт громади у звітному періоді не розроблявся. Заплановані заходи зі створення офісу (інкубатора) підтримки розвитку підприємництва також не реалізовано.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Не проводилося </w:t>
      </w:r>
      <w:r w:rsidR="00437704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передбаченого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Планом дослідження серед місцевих підприємців щодо визначення їхніх інтересів та точок взаємодії.</w:t>
      </w:r>
    </w:p>
    <w:p w:rsidR="0081591F" w:rsidRPr="0081591F" w:rsidRDefault="0081591F" w:rsidP="0081591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Цифрова громада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Усі працівники виконавчого комітету Боярської міської ради працюють у системі електронного документообігу.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звітному періоді проведено навчальні заходи з питань штучного інтелекту та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кібербезпеки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, продовжувалося підвищення цифрової компетентності працівників.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У громаді функціонують електронні сервіси, зокрема електронна черга до закладів дошкільної освіти та цифрові інструменти для сплати податків.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Опубліковано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 наборів відкритих даних із 43 затверджених (47 %)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Водночас Стратегія цифрового розвитку Боярської громади у звітному періоді не розроблена та залишається у планах.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Також не виконувалися окремі заходи з аналізу наявних інформаційних систем та бізнесів цифрового спрямування, які мають бути залучені до розроблення Стратегії цифрового розвитку.</w:t>
      </w:r>
    </w:p>
    <w:p w:rsidR="0081591F" w:rsidRPr="0081591F" w:rsidRDefault="0081591F" w:rsidP="0081591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Енергоефективність та «зелений» перехід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Продовжувалася підготовка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проєктів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термомодернізації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81591F" w:rsidRPr="0081591F" w:rsidRDefault="0081591F" w:rsidP="0081591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Боярського академічного ліцею «Престиж»; </w:t>
      </w:r>
    </w:p>
    <w:p w:rsidR="0081591F" w:rsidRPr="0081591F" w:rsidRDefault="0081591F" w:rsidP="0081591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корпуса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поліклініки КНП «ЛІЛ»; </w:t>
      </w:r>
    </w:p>
    <w:p w:rsidR="0081591F" w:rsidRPr="0081591F" w:rsidRDefault="0081591F" w:rsidP="0081591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Тарасівського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ЗДО «Віночок»; </w:t>
      </w:r>
    </w:p>
    <w:p w:rsidR="0081591F" w:rsidRPr="0081591F" w:rsidRDefault="0081591F" w:rsidP="0081591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Новосілківської гімназії; </w:t>
      </w:r>
    </w:p>
    <w:p w:rsidR="0081591F" w:rsidRPr="0081591F" w:rsidRDefault="0081591F" w:rsidP="0081591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Боярського академічного ліцею «Лідер». 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І півріччі 2026 року за зазначеними об’єктами здійснювалося розроблення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проєктної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документації.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Постійно здійснювався моніторинг грантових можливостей щодо модернізації, реконструкції та розширення мережі вуличного освітлення.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Водночас захід щодо визначення місць та встановлення енергонезалежних точок доступу до громадського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Wi-Fi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звітному періоді не реалізовувався та залишається у планах.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Стратегічна ціль 3</w:t>
      </w:r>
      <w:r w:rsidR="000B6A1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«Стійка до сучасних викликів, </w:t>
      </w:r>
      <w:proofErr w:type="spellStart"/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безбар’єрна</w:t>
      </w:r>
      <w:proofErr w:type="spellEnd"/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громада, доступ до освіти, спорту, соціальних та медичних послуг»</w:t>
      </w:r>
    </w:p>
    <w:p w:rsidR="0081591F" w:rsidRPr="0081591F" w:rsidRDefault="0081591F" w:rsidP="00CA63D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Стратегічна ціль 3 охоплює найбільшу кількість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проєктів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програм та заходів і потребує значного обсягу фінансових ресурсів, тому саме за цією ціллю спостерігається найбільша кількість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проєктів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реалізація яких залежить від фінансування та готовності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проєктно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-кошторисної документації.</w:t>
      </w:r>
    </w:p>
    <w:p w:rsidR="0081591F" w:rsidRPr="0081591F" w:rsidRDefault="0081591F" w:rsidP="0081591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Чисте довкілля та адаптація до кліматичних змін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Проведено комісійні обстеження зелених насаджень із виїздом на місцевість та складено акти щодо зелених насаджень, які підлягають видаленню, санітарному очищенню, коронуванню та обрізці.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парку ім. Тараса Шевченка висаджено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20 </w:t>
      </w:r>
      <w:proofErr w:type="spellStart"/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сосен</w:t>
      </w:r>
      <w:proofErr w:type="spellEnd"/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звичайних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на що використано </w:t>
      </w:r>
      <w:r w:rsidR="000B6A1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 місцевого бюджету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23,6 тис. грн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Ліквідовано несанкціоноване сміттєзвалище обсягом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1 135 куб. м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загальну суму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660,57 тис. грн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Проведено заходи «днів чистоти», а також інформаційно-просвітницькі заходи екологічного спрямування.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У Центрі еколого-натуралістичної творчості «ЮННАТИ» проведено зустріч із учасниками міжнародної освітньої кампанії «ZOOM – діти захищають клімат».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Водночас Місцевий план управління відходами Боярської міської територіальної громади станом на І півріччя 2026 року не розроблено.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Продовжується робота зі створення індустріального парку «Боярка». Після опрацювання зауважень доопрацьовано та повторно подано до Міністерства економіки України пакет документів щодо його реєстрації.</w:t>
      </w:r>
    </w:p>
    <w:p w:rsidR="0081591F" w:rsidRPr="0081591F" w:rsidRDefault="0081591F" w:rsidP="0081591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Стійкість громади до сучасних викликів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І півріччі 2026 року будівництво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бюветів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території громади не здійснювалося.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сфері забезпечення комунальних закладів альтернативними та безперебійними джерелами енергії робота продовжується. </w:t>
      </w:r>
    </w:p>
    <w:p w:rsidR="0081591F" w:rsidRPr="0081591F" w:rsidRDefault="0081591F" w:rsidP="0081591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Безпечна та </w:t>
      </w:r>
      <w:proofErr w:type="spellStart"/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безбар’єрна</w:t>
      </w:r>
      <w:proofErr w:type="spellEnd"/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громада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межах оперативної цілі щодо підвищення рівня безпеки передбачено реалізацію інфраструктурних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проєктів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із розбудови мережі споруд цивільного захисту.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проєктами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капітального ремонту протирадіаційних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укриттів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№ 159562 та № 159533 за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адресою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вул. Соборності, 51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проєктно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-кошторисна документація потребує коригування.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реконструкції будівлі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Забірської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дільничної лікарні з амбулаторією та добудовою приміщення відділення для осіб, які потребують стороннього догляду, потребує фінансування.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капітального ремонту дороги з прокладанням газопроводу для газифікації обслуговуючих кооперативів «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Рябинки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» та «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Рябинки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2» у с.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Малютянка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звітному періоді не реалізовувався через відсутність фінансування.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Водночас значний обсяг робіт виконано у сфері вуличного освітлення:</w:t>
      </w:r>
    </w:p>
    <w:p w:rsidR="0081591F" w:rsidRPr="0081591F" w:rsidRDefault="0081591F" w:rsidP="0081591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замінено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5 000 м електроліній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; </w:t>
      </w:r>
    </w:p>
    <w:p w:rsidR="0081591F" w:rsidRPr="0081591F" w:rsidRDefault="0081591F" w:rsidP="0081591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48 ламп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замінено на енергозберігаючі; </w:t>
      </w:r>
    </w:p>
    <w:p w:rsidR="0081591F" w:rsidRPr="0081591F" w:rsidRDefault="0081591F" w:rsidP="0081591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відремонтовано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35 щитів керування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вуличним освітленням. 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Зазначені заходи безпосередньо сприяють підвищенню рівня безпеки мешканців та покращенню стану інфраструктури.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ремонт ліфтового господарства багатоповерхових житлових будинків використано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259,81 тис. грн місцевого бюджету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1591F" w:rsidRPr="0081591F" w:rsidRDefault="001730EB" w:rsidP="000B6A1C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="0081591F"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кремі капітальні </w:t>
      </w:r>
      <w:proofErr w:type="spellStart"/>
      <w:r w:rsidR="0081591F"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проєкти</w:t>
      </w:r>
      <w:proofErr w:type="spellEnd"/>
      <w:r w:rsidR="0081591F"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щодо реконструкції громадських і соціальних об’єктів у звітному періоді не реалізовувалися.</w:t>
      </w:r>
    </w:p>
    <w:p w:rsidR="0081591F" w:rsidRPr="0081591F" w:rsidRDefault="0081591F" w:rsidP="0081591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Освіта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Одним із ключових напрямів реалізації Стратегічної цілі 3 залишається створення безпечного та доступного освітнього середовища.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проєктом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нового будівництва укриття на території Боярської ЗОШ І–ІІІ ступенів № 1 роботи тривають.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Розпочато роботи з реконструкції з добудовою приміщення Боярської ЗОШ І–ІІІ ступенів № 1.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проєктом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нового будівництва споруди подвійного призначення із захисними властивостями ПРУ ДНЗ «Берізка» триває тендерна процедура.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Капітальний ремонт протирадіаційного укриття Боярського академічного ліцею «Престиж» перебуває на етапі завершення.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Водночас будівництво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укриттів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території Боярського академічного ліцею «Лідер» та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Малютянської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гімназії у звітному періоді не реалізовувалося.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Проєкти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облаштування найпростіших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укриттів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закладах дошкільної освіти потребують фінансування або перебувають на етапі підготовки.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Позитивним результатом є реалізація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проєкту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«Фінансова освіта в громаді»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У 8-х класах закладів освіти запроваджено навчальний предмет «Підприємництво і фінансова грамотність». 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У сфері психологічної підтримки дітей проведено заняття та тренінги, спрямовані на формування навичок самоусвідомлення, саморегуляції та емпатії.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Водночас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проєкти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створення шкільного медіацентру, центру професійного розвитку педагогічних працівників, а також проведення регулярних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хакатонів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технологічних фестивалів не продемонстрували запланованого результату.</w:t>
      </w:r>
    </w:p>
    <w:p w:rsidR="0081591F" w:rsidRPr="0081591F" w:rsidRDefault="0081591F" w:rsidP="0081591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Молодь, спорт і здоровий спосіб життя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У сфері розвитку спортивної інфраструктури передбачено розширення мережі спортивних майданчиків, у тому числі для занять адаптивними видами спорту.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Цільовий показник створення не менше трьох нових спортивних майданчиків у І півріччі 2026 року не досягнуто.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Водночас у м. Боярка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реалізовано захід зі створення </w:t>
      </w:r>
      <w:proofErr w:type="spellStart"/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мультифункціонального</w:t>
      </w:r>
      <w:proofErr w:type="spellEnd"/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спортивного майданчика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Продовжувався процес створення активного парку в парку ім. Тараса Шевченка.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рамках розвитку туризму реалізовувався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екологічного туризму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«Долина двох рік»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У Княжичах та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Жорнівці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встановлено інформаційні стенди. На реалізацію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проєкту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використано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60,0 тис. грн місцевого бюджету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с.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Малютянка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визначено та найменовано парк площею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5,3964 га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екопарк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«Болотними стежками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Малютянки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».</w:t>
      </w:r>
    </w:p>
    <w:p w:rsidR="0081591F" w:rsidRPr="0081591F" w:rsidRDefault="0081591F" w:rsidP="0081591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Охорона здоров’я та реабілітація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У сфері охорони здоров’я реалізовувалися програми фінансової підтримки та розвитку комунальних закладів охорони здоров’я.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Фактичні видатки становили:</w:t>
      </w:r>
    </w:p>
    <w:p w:rsidR="0081591F" w:rsidRPr="0081591F" w:rsidRDefault="0081591F" w:rsidP="0081591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фінансову підтримку КНП «ЦПМСД» –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5 125,26 тис. грн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; </w:t>
      </w:r>
    </w:p>
    <w:p w:rsidR="0081591F" w:rsidRPr="0081591F" w:rsidRDefault="0081591F" w:rsidP="0081591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розвиток та підтримку КНП «ЛІЛ» –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9 153,32 тис. грн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; </w:t>
      </w:r>
    </w:p>
    <w:p w:rsidR="0081591F" w:rsidRPr="0081591F" w:rsidRDefault="0081591F" w:rsidP="0081591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підтримку КНП «Стоматологічна поліклініка» –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1 111,41 тис. грн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; </w:t>
      </w:r>
    </w:p>
    <w:p w:rsidR="0081591F" w:rsidRPr="0081591F" w:rsidRDefault="0081591F" w:rsidP="0081591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забезпечення пільгових категорій населення лікарськими засобами –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1 664,8 тис. грн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У КНП «ЦПМСД БМР» забезпечено альтернативними джерелами електроживлення заклади охорони здоров’я, за винятком АЗПСМ № 5, яка перебуває у стадії реконструкції.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І півріччі 2026 року проведено профілактичні огляди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12 225 пацієнтам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що становить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36,78 %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 загальної кількості задекларованого населення.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Позитивним результатом є початок робіт з реконструкції з розширенням приймального відділення КНП «ЛІЛ» БМР.</w:t>
      </w:r>
    </w:p>
    <w:p w:rsidR="0081591F" w:rsidRPr="0081591F" w:rsidRDefault="0081591F" w:rsidP="0081591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Соціальні послуги та підтримка ветеранів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У соціальній сфері продовжувалася реалізація програми соціальної підтримки населення БМТГ «Турбота».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Здійснювалися заходи щодо підтримки внутрішньо переміщених осіб. На окремій сторінці порталу Боярської міської ради постійно оновлюється інформація для ВПО, зокрема щодо змін законодавства, соціальної підтримки та діяльності Ради ВПО.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Розпочато роботу щодо підготовки програми інтеграції ВПО.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Заходи із забезпечення допомоги особам, які постраждали від домашнього насильства, продовжувалися.</w:t>
      </w:r>
    </w:p>
    <w:p w:rsidR="0081591F" w:rsidRPr="0081591F" w:rsidRDefault="0081591F" w:rsidP="000B6A1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межах підтримки ветеранів та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ветеранок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розробку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проєктно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-кошторисної документації для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проєкту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«Створення ветеранського простору для ефективної психологічної, професійної реабілітації, реадаптації та соціально-економічної реінтеграції ветеранів війни»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використано </w:t>
      </w: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885,498 тис. грн місцевого бюджету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1591F" w:rsidRPr="0081591F" w:rsidRDefault="00CA63D2" w:rsidP="0081591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4</w:t>
      </w:r>
      <w:r w:rsidR="0081591F" w:rsidRPr="008159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. Основні проблеми та ризики реалізації Плану заходів</w:t>
      </w:r>
    </w:p>
    <w:p w:rsidR="0081591F" w:rsidRPr="0081591F" w:rsidRDefault="0081591F" w:rsidP="008159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 результатами моніторингу основними чинниками, що стримують реалізацію окремих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проєктів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, програм та заходів, визначено:</w:t>
      </w:r>
    </w:p>
    <w:p w:rsidR="0081591F" w:rsidRPr="0081591F" w:rsidRDefault="0081591F" w:rsidP="0081591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Недостатність фінансових ресурсів місцевого бюджету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одночасної реалізації всіх запланованих капітальних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проєктів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81591F" w:rsidRPr="0081591F" w:rsidRDefault="0081591F" w:rsidP="0081591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Залежність від державного та зовнішнього фінансування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особливо для великих інфраструктурних, освітніх, медичних та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безпекових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проєктів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81591F" w:rsidRPr="0081591F" w:rsidRDefault="0081591F" w:rsidP="0081591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Необхідність коригування </w:t>
      </w:r>
      <w:proofErr w:type="spellStart"/>
      <w:r w:rsidRPr="008159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проєктно</w:t>
      </w:r>
      <w:proofErr w:type="spellEnd"/>
      <w:r w:rsidRPr="008159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-кошторисної документації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що впливає на строки реалізації окремих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проєктів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81591F" w:rsidRPr="0081591F" w:rsidRDefault="0081591F" w:rsidP="00D7724B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Концентрація фінансових та організаційних ресурсів на </w:t>
      </w:r>
      <w:proofErr w:type="spellStart"/>
      <w:r w:rsidRPr="008159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безпекових</w:t>
      </w:r>
      <w:proofErr w:type="spellEnd"/>
      <w:r w:rsidRPr="008159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і критично важливих потребах громади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умовах воєнного стану. </w:t>
      </w:r>
    </w:p>
    <w:p w:rsidR="0081591F" w:rsidRPr="0081591F" w:rsidRDefault="0081591F" w:rsidP="0081591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Залежність окремих результатів від рішень інших органів державної влади, донорських організацій та потенційних партнерів.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81591F" w:rsidRPr="0081591F" w:rsidRDefault="0081591F" w:rsidP="0081591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Висока капіталомісткість інфраструктурних </w:t>
      </w:r>
      <w:proofErr w:type="spellStart"/>
      <w:r w:rsidRPr="0081591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проєктів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передбачених Планом заходів, що зумовлює необхідність їх поетапної реалізації. </w:t>
      </w:r>
    </w:p>
    <w:p w:rsidR="0081591F" w:rsidRPr="0081591F" w:rsidRDefault="00CA63D2" w:rsidP="0081591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5</w:t>
      </w:r>
      <w:r w:rsidR="0081591F" w:rsidRPr="008159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. Висновки </w:t>
      </w:r>
    </w:p>
    <w:p w:rsidR="0081591F" w:rsidRPr="0081591F" w:rsidRDefault="0081591F" w:rsidP="00CA63D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59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 підсумками проведеного моніторингу доцільно продовжити реалізацію Плану заходів на 2025–2027 роки</w:t>
      </w:r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зосередивши подальшу роботу на </w:t>
      </w:r>
      <w:proofErr w:type="spellStart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проєктах</w:t>
      </w:r>
      <w:proofErr w:type="spellEnd"/>
      <w:r w:rsidRPr="00815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заходах, які мають найбільший вплив на безпеку, стійкість, доступність послуг, енергоефективність, економічний розвиток та якість життя мешканців Боярської міської територіальної громади.</w:t>
      </w:r>
    </w:p>
    <w:p w:rsidR="0081591F" w:rsidRPr="004B31A1" w:rsidRDefault="0081591F" w:rsidP="008159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82478" w:rsidRPr="0081591F" w:rsidRDefault="00F82478" w:rsidP="0081591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91F">
        <w:rPr>
          <w:rFonts w:ascii="Times New Roman" w:hAnsi="Times New Roman" w:cs="Times New Roman"/>
          <w:b/>
          <w:sz w:val="28"/>
          <w:szCs w:val="28"/>
        </w:rPr>
        <w:t>Начальник відділу</w:t>
      </w:r>
    </w:p>
    <w:p w:rsidR="00F82478" w:rsidRPr="0081591F" w:rsidRDefault="00F82478" w:rsidP="0081591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91F">
        <w:rPr>
          <w:rFonts w:ascii="Times New Roman" w:hAnsi="Times New Roman" w:cs="Times New Roman"/>
          <w:b/>
          <w:sz w:val="28"/>
          <w:szCs w:val="28"/>
        </w:rPr>
        <w:t xml:space="preserve">економічного аналізу та </w:t>
      </w:r>
    </w:p>
    <w:p w:rsidR="00591161" w:rsidRPr="0081591F" w:rsidRDefault="00F82478" w:rsidP="0081591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91F">
        <w:rPr>
          <w:rFonts w:ascii="Times New Roman" w:hAnsi="Times New Roman" w:cs="Times New Roman"/>
          <w:b/>
          <w:sz w:val="28"/>
          <w:szCs w:val="28"/>
        </w:rPr>
        <w:t>стратегічного планування</w:t>
      </w:r>
      <w:r w:rsidRPr="0081591F">
        <w:rPr>
          <w:rFonts w:ascii="Times New Roman" w:hAnsi="Times New Roman" w:cs="Times New Roman"/>
          <w:b/>
          <w:sz w:val="28"/>
          <w:szCs w:val="28"/>
        </w:rPr>
        <w:tab/>
      </w:r>
      <w:r w:rsidRPr="0081591F">
        <w:rPr>
          <w:rFonts w:ascii="Times New Roman" w:hAnsi="Times New Roman" w:cs="Times New Roman"/>
          <w:b/>
          <w:sz w:val="28"/>
          <w:szCs w:val="28"/>
        </w:rPr>
        <w:tab/>
      </w:r>
      <w:r w:rsidRPr="0081591F">
        <w:rPr>
          <w:rFonts w:ascii="Times New Roman" w:hAnsi="Times New Roman" w:cs="Times New Roman"/>
          <w:b/>
          <w:sz w:val="28"/>
          <w:szCs w:val="28"/>
        </w:rPr>
        <w:tab/>
      </w:r>
      <w:r w:rsidRPr="0081591F">
        <w:rPr>
          <w:rFonts w:ascii="Times New Roman" w:hAnsi="Times New Roman" w:cs="Times New Roman"/>
          <w:b/>
          <w:sz w:val="28"/>
          <w:szCs w:val="28"/>
        </w:rPr>
        <w:tab/>
      </w:r>
      <w:r w:rsidRPr="0081591F">
        <w:rPr>
          <w:rFonts w:ascii="Times New Roman" w:hAnsi="Times New Roman" w:cs="Times New Roman"/>
          <w:b/>
          <w:sz w:val="28"/>
          <w:szCs w:val="28"/>
        </w:rPr>
        <w:tab/>
        <w:t>Алла ЛІЩУК</w:t>
      </w:r>
    </w:p>
    <w:sectPr w:rsidR="00591161" w:rsidRPr="0081591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27C08"/>
    <w:multiLevelType w:val="multilevel"/>
    <w:tmpl w:val="02CE0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E09A6"/>
    <w:multiLevelType w:val="multilevel"/>
    <w:tmpl w:val="B6882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ED5DAE"/>
    <w:multiLevelType w:val="hybridMultilevel"/>
    <w:tmpl w:val="3B6E3AFE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2177D1"/>
    <w:multiLevelType w:val="multilevel"/>
    <w:tmpl w:val="AC1E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555D07"/>
    <w:multiLevelType w:val="multilevel"/>
    <w:tmpl w:val="3B801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333B20"/>
    <w:multiLevelType w:val="multilevel"/>
    <w:tmpl w:val="D7BE3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DB4AB3"/>
    <w:multiLevelType w:val="multilevel"/>
    <w:tmpl w:val="EEC6C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7A2352"/>
    <w:multiLevelType w:val="multilevel"/>
    <w:tmpl w:val="73E20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CF2C81"/>
    <w:multiLevelType w:val="multilevel"/>
    <w:tmpl w:val="24F07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9A7417"/>
    <w:multiLevelType w:val="multilevel"/>
    <w:tmpl w:val="B27CC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776C42"/>
    <w:multiLevelType w:val="multilevel"/>
    <w:tmpl w:val="D8142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7E7BF4"/>
    <w:multiLevelType w:val="multilevel"/>
    <w:tmpl w:val="1A766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A94835"/>
    <w:multiLevelType w:val="multilevel"/>
    <w:tmpl w:val="B2BA2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BB1736"/>
    <w:multiLevelType w:val="multilevel"/>
    <w:tmpl w:val="6BD07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200FEC"/>
    <w:multiLevelType w:val="multilevel"/>
    <w:tmpl w:val="108E7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3C3D57"/>
    <w:multiLevelType w:val="multilevel"/>
    <w:tmpl w:val="F2CC0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"/>
  </w:num>
  <w:num w:numId="3">
    <w:abstractNumId w:val="10"/>
  </w:num>
  <w:num w:numId="4">
    <w:abstractNumId w:val="15"/>
  </w:num>
  <w:num w:numId="5">
    <w:abstractNumId w:val="8"/>
  </w:num>
  <w:num w:numId="6">
    <w:abstractNumId w:val="3"/>
  </w:num>
  <w:num w:numId="7">
    <w:abstractNumId w:val="5"/>
  </w:num>
  <w:num w:numId="8">
    <w:abstractNumId w:val="0"/>
  </w:num>
  <w:num w:numId="9">
    <w:abstractNumId w:val="9"/>
  </w:num>
  <w:num w:numId="10">
    <w:abstractNumId w:val="13"/>
  </w:num>
  <w:num w:numId="11">
    <w:abstractNumId w:val="12"/>
  </w:num>
  <w:num w:numId="12">
    <w:abstractNumId w:val="4"/>
  </w:num>
  <w:num w:numId="13">
    <w:abstractNumId w:val="7"/>
  </w:num>
  <w:num w:numId="14">
    <w:abstractNumId w:val="6"/>
  </w:num>
  <w:num w:numId="15">
    <w:abstractNumId w:val="1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1E0"/>
    <w:rsid w:val="00017E50"/>
    <w:rsid w:val="000B6A1C"/>
    <w:rsid w:val="001730EB"/>
    <w:rsid w:val="00437704"/>
    <w:rsid w:val="004B31A1"/>
    <w:rsid w:val="004C112A"/>
    <w:rsid w:val="00591161"/>
    <w:rsid w:val="006D61E0"/>
    <w:rsid w:val="0081591F"/>
    <w:rsid w:val="00887CC7"/>
    <w:rsid w:val="00BF6A79"/>
    <w:rsid w:val="00C672B9"/>
    <w:rsid w:val="00CA63D2"/>
    <w:rsid w:val="00F61DDC"/>
    <w:rsid w:val="00F8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E31B31-94E6-4FC6-A78B-8D482920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1A1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704"/>
    <w:pPr>
      <w:spacing w:after="160" w:line="259" w:lineRule="auto"/>
      <w:ind w:left="720"/>
      <w:contextualSpacing/>
    </w:pPr>
    <w:rPr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017E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7E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7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2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10</Pages>
  <Words>11842</Words>
  <Characters>6750</Characters>
  <Application>Microsoft Office Word</Application>
  <DocSecurity>0</DocSecurity>
  <Lines>56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Ліщук</dc:creator>
  <cp:keywords/>
  <dc:description/>
  <cp:lastModifiedBy>Марина Кляпка</cp:lastModifiedBy>
  <cp:revision>4</cp:revision>
  <cp:lastPrinted>2026-08-18T07:42:00Z</cp:lastPrinted>
  <dcterms:created xsi:type="dcterms:W3CDTF">2026-08-17T13:24:00Z</dcterms:created>
  <dcterms:modified xsi:type="dcterms:W3CDTF">2026-08-18T11:05:00Z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cabdb7b7-7912-469e-8245-6c996bd01801</vt:lpwstr>
  </property>
</Properties>
</file>