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F30" w:rsidRDefault="00EA7B08" w:rsidP="00342F3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EA7B0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Додаток 1</w:t>
      </w:r>
      <w:r w:rsidR="00342F3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  <w:bookmarkStart w:id="0" w:name="_GoBack"/>
      <w:r w:rsidR="00342F3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до р</w:t>
      </w:r>
      <w:r w:rsidRPr="00EA7B0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ішення</w:t>
      </w:r>
      <w:r w:rsidR="00342F3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чергової 87-ї сесії</w:t>
      </w:r>
    </w:p>
    <w:p w:rsidR="00EA7B08" w:rsidRPr="00EA7B08" w:rsidRDefault="00342F30" w:rsidP="00342F3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Боярської міської ради від 27.08.2026 № 87/4701</w:t>
      </w:r>
    </w:p>
    <w:bookmarkEnd w:id="0"/>
    <w:p w:rsidR="00F11F68" w:rsidRPr="00F11F68" w:rsidRDefault="00F11F68" w:rsidP="00F11F6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ПОЯСНЮВАЛЬНА ЗАПИСКА</w:t>
      </w:r>
    </w:p>
    <w:p w:rsidR="00F11F68" w:rsidRPr="00F11F68" w:rsidRDefault="00F11F68" w:rsidP="00F11F6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до Звіту про результати проведення моніторингу Стратегії розвитку Боярської міської територіальної громади до 2027 року за 2025 рік</w:t>
      </w:r>
    </w:p>
    <w:p w:rsidR="00F11F68" w:rsidRPr="00F11F68" w:rsidRDefault="00F11F68" w:rsidP="00F11F6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Загальні положення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Пояснювальну записку підготовлено до Звіту про результати проведення моніторингу Стратегії розвитку Боярської міської територіальної громади до 2027 року за 2025 рік (далі – Звіт).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Моніторинг проведено з метою визначення динаміки основних показників, що характеризують реалізацію Стратегії розвитку Боярської міської територіальної громади до 2027 року (далі – Стратегія) та оцінки змін, які відбулися у 2025 році порівняно з базовими значеннями показників станом на 01.01.2025 року.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Порівняльний аналіз проведено за показниками, визначеними у системі моніторингу Стратегії, на підставі інформації, наданої відповідальними структурними підрозділами виконавчого комітету Боярської міської ради, комунальними підприємствами та іншими виконавцями.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За результатами проведеного аналізу із 43 показників:</w:t>
      </w:r>
    </w:p>
    <w:p w:rsidR="00F11F68" w:rsidRPr="00F11F68" w:rsidRDefault="00F11F68" w:rsidP="00F11F68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за 26 показниками зафіксовано позитивну динаміку порівняно з базовим значенням;</w:t>
      </w:r>
    </w:p>
    <w:p w:rsidR="00F11F68" w:rsidRPr="00F11F68" w:rsidRDefault="00F11F68" w:rsidP="00F11F68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за 13 показниками значення залишилися на рівні базового;</w:t>
      </w:r>
    </w:p>
    <w:p w:rsidR="00F11F68" w:rsidRPr="00F11F68" w:rsidRDefault="00F11F68" w:rsidP="00F11F68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за 4 показниками зафіксовано відхилення у бік погіршення.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Загалом, результати моніторингу свідчать про </w:t>
      </w:r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переважно позитивну динаміку показників у 2025 році</w:t>
      </w: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поступове виконання завдань Стратегії за основними напрямами розвитку громади.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2. Результати моніторингу за стратегічними та оперативними цілями</w:t>
      </w:r>
    </w:p>
    <w:p w:rsidR="00F11F68" w:rsidRPr="00F11F68" w:rsidRDefault="00F11F68" w:rsidP="00F11F6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Стратегічна ціль 1.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Прозора, згуртована, комфортна для життя громада, яка дбає про розвиток і збереження культурних цінностей</w:t>
      </w:r>
    </w:p>
    <w:p w:rsidR="00F11F68" w:rsidRPr="00F11F68" w:rsidRDefault="00F11F68" w:rsidP="00F11F6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Оперативна ціль 1.1. </w:t>
      </w:r>
      <w:proofErr w:type="spellStart"/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Впізнавана</w:t>
      </w:r>
      <w:proofErr w:type="spellEnd"/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і прозора громада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2025 році спостерігалася позитивна динаміка показника відвідуваності офіційного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вебсайту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Боярської міської ради.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Кількість відвідувань офіційного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вебсайту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зросла з 32 400 у базовому періоді до 62 400 у 2025 році, тобто майже вдвічі.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Зростання відвідуваності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вебсайту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свідчить про підвищення зацікавленості мешканців та інших користувачів інформацією про діяльність громади, прийняті рішення, реалізацію заходів та актуальні події.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2025 році окремий портал відкритих даних не створено у зв'язку з очікуванням типового рішення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Мінцифри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. Водночас доступ до електронних документів та інформації забезпечувався через наявні електронні ресурси, зокрема doc.boiarka-rada.gov.ua.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Оперативна ціль 1.2. Громада взаємної довіри та взаємодопомоги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У 2025 році продовжувалася робота щодо розвитку громадської активності, підтримки громадських ініціатив, соціальної згуртованості та взаємодії між органами місцевого самоврядування, громадськими організаціями, мешканцями, молоддю, волонтерами та представниками бізнесу.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Зокрема, створено громадський простір «Ветеран ПРО» (ГО «Плече побратима») та простір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спільнотворення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«Дача» (БО «Фонд Боярської громади»).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Проведено ярмарок «Урожайний шлях» 30 серпня 2025 року за участю Фонду Боярської громади, Боярської міської ради та ГО «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bo.molodi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», а також благодійний різдвяний ярмарок у грудні 2025 року за ініціативи підприємців громади та підтримки міської ради.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Затверджено новий склад Молодіжної ради при Боярській міській раді, яка є платформою для залучення молоді до громадського життя та реалізації молодіжних ініціатив.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20 вересня 2025 року проведено День міста Боярки із залученням мешканців громади.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Боярська міська територіальна громада стала однією з трьох громад Київської області, залучених до реалізації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проєкту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«Ветеранські голоси: врахування потреб у стратегіях громад». У межах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проєкту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проводиться дослідження потреб ветеранів з метою розроблення рекомендацій щодо їх подальшого врахування у стратегічних документах громад.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жовтні 2025 року Боярська громада взяла участь у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ReBuild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Ukraine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2025, представивши громаду потенційним інвесторам та партнерам.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Зазначені заходи сприяли розвитку громадської взаємодії, підтримці ініціатив мешканців, розширенню партнерства та залученню різних груп населення до суспільного життя громади.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Оперативна ціль 1.3. Розумно спланована та комфортна для проживання громада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У 2025 році капітальний ремонт доріг не проводився, водночас виконувалися роботи з поточного та ямкового ремонту дорожнього покриття.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Обсяг виконаних робіт збільшився з 3 850 до 8 765 тис.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кв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. м, що свідчить про збільшення обсягів робіт з поточного утримання дорожньої інфраструктури.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Кількість благоустроєних просторів залишилася на рівні базового значення – 15.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Кількість вулиць, на яких проведено заміну освітлення на LED, також залишилася на рівні базового значення – 4.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Таким чином, за напрямом поточного утримання дорожньої інфраструктури спостерігається позитивна динаміка, тоді як за окремими напрямами благоустрою та модернізації освітлення показники залишилися без змін.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Оперативна ціль 1.4. Громада культури і духовності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У 2025 році спостерігалося збільшення кількості культурних заходів та їх учасників.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Кількість культурних заходів зросла з 656 до 961, тобто на 305 заходів.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Кількість учасників культурних заходів збільшилася з 5 000 до 5 800 осіб.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Позитивна динаміка показників свідчить про активізацію культурного життя громади та збільшення залучення мешканців до культурних заходів.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Стратегічна ціль 2. </w:t>
      </w:r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Енергоощадна, цифрова громада, яка підтримує та заохочує розвиток бізнесу</w:t>
      </w:r>
    </w:p>
    <w:p w:rsidR="00F11F68" w:rsidRPr="00F11F68" w:rsidRDefault="00F11F68" w:rsidP="00F11F6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Оперативна ціль 2.1. Громада з розвинутим підприємництвом та сприятливим інвестиційним кліматом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У 2025 році кількість суб'єктів господарювання збільшилася з 7 852 до 7 998, тобто на 146 суб'єктів.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Частка малого та середнього бізнесу збільшилася з 1,6% до 1,7%.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Інвестиційний паспорт громади у 2025 році не розроблено.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Водночас у систему DREAM сектором з управління публічними інвестиціями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внесено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28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проєктів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2 програми публічних інвестицій,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затверджені</w:t>
      </w: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Стратегічним портфелем публічних інвестицій громади.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Участь громади у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ReBuild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Ukraine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2025 сприяла представленню її потенціалу потенційним інвесторам та партнерам.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Таким чином, у сфері розвитку підприємництва та інвестиційної діяльності у 2025 році здійснювалися заходи, спрямовані на підтримку підприємницької активності та формування передумов для залучення інвестицій.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Оперативна ціль 2.2. Цифрова громада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У 2025 році рівень використання системи електронного документообігу серед працівників виконавчих органів збільшився з 50% до 75%.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Частка обов'язкових наборів даних, оприлюднених на Єдиному державному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вебпорталі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відкритих даних data.gov.ua, досягла 25% порівняно з базовим значенням менше 10%.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Зазначена динаміка свідчить про подальший розвиток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цифровізації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діяльності органів місцевого самоврядування та розширення використання цифрових інструментів.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Оперативна ціль 2.3. Енергоощадна і «зелена» громада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Кількість встановлених енергоощадних світильників у 2025 році збільшилася з 107 до 300 одиниць.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У 2025 році громада посилила співпрацю у сфері енергоефективності та долучилася до відповідних національних та європейських ініціатив.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липні 2025 року Боярська громада стала членом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Association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Energy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Efficient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Cities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Ukraine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червні 2025 року громада долучилася до європейської ініціативи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Covenant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Mayors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East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(«Угода мерів – Схід»).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17 вересня 2025 року в Боярській міській раді відбувся захід за участю представника Фонду енергоефективності, присвячений подальшому розвитку та впровадженню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проєктів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енергоефективності для ОСББ.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квітні 2025 року працівники виконавчого комітету Боярської міської ради та КП «БМЕСК» взяли участь в інформаційному семінарі щодо управління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проєктами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рамках програми Європейського інвестиційного банку «Енергоефективність громадських будівель в Україні» (UPBEE).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Зазначені заходи сприяли розширенню партнерської взаємодії громади та створенню додаткових можливостей для підготовки і реалізації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проєктів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сфері енергоефективності.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Стратегічна ціль 3.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Стійка до сучасних викликів, </w:t>
      </w:r>
      <w:proofErr w:type="spellStart"/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безбар’єрна</w:t>
      </w:r>
      <w:proofErr w:type="spellEnd"/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громада, доступ до освіти, спорту, соціальних та медичних послуг</w:t>
      </w:r>
    </w:p>
    <w:p w:rsidR="00F11F68" w:rsidRPr="00F11F68" w:rsidRDefault="00F11F68" w:rsidP="00F11F6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Оперативна ціль 3.1. Громада із чистим довкіллям і адаптована до кліматичних змін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Площа зелених зон у 2025 році збільшилася з 10 до 15,8 га.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Збільшення площі зелених зон є позитивною динамікою у напрямі формування комфортного середовища проживання та розвитку зеленої інфраструктури громади.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Оперативна ціль 3.2. Стійка до сучасних викликів громада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У 2025 році розроблено План цивільного захисту на особливий період та План реагування на надзвичайні ситуації.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Рівень готовності інфраструктури громади до можливих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блекаутів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підвищився з 4 до 5 балів.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За наявними даними, 100% об'єктів критичної інфраструктури забезпечено генераторами.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Зазначені результати свідчать про посилення готовності громади до можливих надзвичайних ситуацій та забезпечення функціонування критично важливої інфраструктури.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Оперативна ціль 3.3. Безпечна та </w:t>
      </w:r>
      <w:proofErr w:type="spellStart"/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безбар’єрна</w:t>
      </w:r>
      <w:proofErr w:type="spellEnd"/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громада для кожного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У 2025 році кількість комунальних камер відеоспостереження збільшилася з 3 до 9 одиниць.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Розширення системи відеоспостереження сприяє підвищенню рівня безпеки громадського простору та можливостей оперативного реагування.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Оперативна ціль 3.4. Доступна, якісна, сучасна і адаптивна освіта для всіх вікових, соціальних та економічних груп населення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У 2025 році за основними показниками, що характеризують стан освітньої сфери, спостерігалася позитивна динаміка.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Середня оцінка задоволеності якістю освіти зросла з 64,2% до 70,5%.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Інтегральний показник охоплення освітою збільшився з 6 до 7,8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бала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Індекс сучасності освіти зріс з 43 до 62 балів.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Показник адаптивності освітнього процесу збільшився з 50 до 85 балів.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Позитивна динаміка зазначених показників свідчить про покращення окремих параметрів якості, доступності та адаптивності освітнього процесу.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Оперативна ціль 3.5. Громада молоді, спорту і здорового способу життя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У 2025 році охоплення дітей першого року життя профілактичними оглядами збільшилося з 70% до 90%.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Охоплення жінок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мамографією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зросло з 13% до 20%.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Середня тривалість перебування на лікарняному зменшилася з 14 до 10 днів. Одним із чинників зазначеної динаміки стало впровадження нових протоколів МОЗ.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Зазначені показники свідчать про позитивні зміни за окремими напрямами профілактики та охорони здоров'я.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Оперативна ціль 3.6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. </w:t>
      </w:r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Медичні установи надають якісні послуги по якісні послуги по збереженню та відновленню здоров’я</w:t>
      </w:r>
    </w:p>
    <w:p w:rsidR="00B50CAF" w:rsidRPr="00B50CAF" w:rsidRDefault="00B50CAF" w:rsidP="00B50CAF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50CAF">
        <w:rPr>
          <w:rFonts w:ascii="Times New Roman" w:eastAsia="Times New Roman" w:hAnsi="Times New Roman" w:cs="Times New Roman"/>
          <w:sz w:val="28"/>
          <w:szCs w:val="28"/>
          <w:lang w:eastAsia="uk-UA"/>
        </w:rPr>
        <w:t>За результатами моніторингу у 2025 році за показниками, що характеризують доступність та якість медичних послуг, спостерігалася позитивна динаміка.</w:t>
      </w:r>
    </w:p>
    <w:p w:rsidR="00B50CAF" w:rsidRPr="00B50CAF" w:rsidRDefault="00B50CAF" w:rsidP="00B50CAF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50C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Охоплення дітей першого року життя профілактичними оглядами збільшилося з </w:t>
      </w:r>
      <w:r w:rsidRPr="00B50CA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70% до 90%</w:t>
      </w:r>
      <w:r w:rsidRPr="00B50CAF">
        <w:rPr>
          <w:rFonts w:ascii="Times New Roman" w:eastAsia="Times New Roman" w:hAnsi="Times New Roman" w:cs="Times New Roman"/>
          <w:sz w:val="28"/>
          <w:szCs w:val="28"/>
          <w:lang w:eastAsia="uk-UA"/>
        </w:rPr>
        <w:t>, що свідчить про підвищення рівня охоплення дітей профілактичними медичними оглядами.</w:t>
      </w:r>
    </w:p>
    <w:p w:rsidR="00B50CAF" w:rsidRPr="00B50CAF" w:rsidRDefault="00B50CAF" w:rsidP="00B50CAF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50C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Охоплення жінок </w:t>
      </w:r>
      <w:proofErr w:type="spellStart"/>
      <w:r w:rsidRPr="00B50CAF">
        <w:rPr>
          <w:rFonts w:ascii="Times New Roman" w:eastAsia="Times New Roman" w:hAnsi="Times New Roman" w:cs="Times New Roman"/>
          <w:sz w:val="28"/>
          <w:szCs w:val="28"/>
          <w:lang w:eastAsia="uk-UA"/>
        </w:rPr>
        <w:t>мамографією</w:t>
      </w:r>
      <w:proofErr w:type="spellEnd"/>
      <w:r w:rsidRPr="00B50C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зросло з </w:t>
      </w:r>
      <w:r w:rsidRPr="00B50CA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13% до 20%</w:t>
      </w:r>
      <w:r w:rsidRPr="00B50CAF">
        <w:rPr>
          <w:rFonts w:ascii="Times New Roman" w:eastAsia="Times New Roman" w:hAnsi="Times New Roman" w:cs="Times New Roman"/>
          <w:sz w:val="28"/>
          <w:szCs w:val="28"/>
          <w:lang w:eastAsia="uk-UA"/>
        </w:rPr>
        <w:t>, що свідчить про розширення охоплення населення профілактичними обстеженнями.</w:t>
      </w:r>
    </w:p>
    <w:p w:rsidR="00B50CAF" w:rsidRPr="00B50CAF" w:rsidRDefault="00B50CAF" w:rsidP="00B50CAF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50C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Середня тривалість перебування на лікарняному зменшилася з </w:t>
      </w:r>
      <w:r w:rsidRPr="00B50CA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14 до 10 днів</w:t>
      </w:r>
      <w:r w:rsidRPr="00B50CAF">
        <w:rPr>
          <w:rFonts w:ascii="Times New Roman" w:eastAsia="Times New Roman" w:hAnsi="Times New Roman" w:cs="Times New Roman"/>
          <w:sz w:val="28"/>
          <w:szCs w:val="28"/>
          <w:lang w:eastAsia="uk-UA"/>
        </w:rPr>
        <w:t>. За наданою інформацією, одним із чинників зазначеної динаміки стало впровадження нових протоколів МОЗ.</w:t>
      </w:r>
    </w:p>
    <w:p w:rsidR="00B50CAF" w:rsidRPr="00B50CAF" w:rsidRDefault="00B50CAF" w:rsidP="00B50CAF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50C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Загалом наведені показники свідчать про </w:t>
      </w:r>
      <w:r w:rsidRPr="00B50CA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позитивну динаміку окремих напрямів медичного обслуговування та профілактики захворювань у громаді</w:t>
      </w:r>
      <w:r w:rsidRPr="00B50CA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B50CAF" w:rsidRPr="00B50CAF" w:rsidRDefault="00B50CAF" w:rsidP="00B50CAF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50CA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 цьому для подальшого моніторингу доцільно зберігати зазначені показники та, за можливості, доповнювати їх показниками, які характеризують доступність медичних послуг, задоволеність мешканців якістю медичного обслуговування та ефективність профілактичних заходів.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Оперативна ціль 3.7. Соціальні послуги та соціальне забезпечення доступне для кожного в громаді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У 2025 році кількість отримувачів соціальних послуг збільшилася з 2 182 до 2 919 осіб.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Зростання кількості отримувачів соціальних послуг пов'язане, зокрема, з необхідністю забезпечення підтримки внутрішньо переміщених осіб та інших категорій населення, які потребують соціальної допомоги.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Частка населення, яке має доступ до соціальних послуг, збільшилася з 75% до 90%.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Обсяг фінансування соціальної підтримки зріс з 36,0 млн грн до 40,78 млн грн.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Кількість дитячих будинків сімейного типу збільшилася з 0 до 4.</w:t>
      </w:r>
    </w:p>
    <w:p w:rsidR="00F11F68" w:rsidRPr="00F11F68" w:rsidRDefault="00F11F68" w:rsidP="00F11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Зазначена динаміка свідчить про розширення доступу мешканців громади до соціальної підтримки та збільшення ресурсів, спрямованих на забезпечення соціальних послуг.</w:t>
      </w:r>
    </w:p>
    <w:p w:rsidR="00706696" w:rsidRPr="00706696" w:rsidRDefault="00706696" w:rsidP="0070669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70669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Моніторинг наслідків виконання Стратегії для довкілля, у тому числі для здоров’я населення</w:t>
      </w:r>
    </w:p>
    <w:p w:rsidR="00706696" w:rsidRPr="00706696" w:rsidRDefault="00706696" w:rsidP="0070669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06696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Відповідно до звіту про стратегічну екологічну оцінку Стратегії розвитку Боярської міської територіальної громади до 2027 року визначено показники, за якими здійснюється моніторинг наслідків реалізації Стратегії для довкілля, у тому числі для здоров’я населення.</w:t>
      </w:r>
    </w:p>
    <w:p w:rsidR="00706696" w:rsidRPr="00706696" w:rsidRDefault="00706696" w:rsidP="0070669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06696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Частину показників, визначених у звіті про стратегічну екологічну оцінку, враховано у системі показників моніторингу реалізації Стратегії. У зв’язку з цим оцінювання відповідних змін та можливих наслідків реалізації Стратегії для довкілля, у тому числі для здоров’я населення, здійснювалося в межах загального моніторингу реалізації Стратегії за 2025 рік.</w:t>
      </w:r>
    </w:p>
    <w:p w:rsidR="00706696" w:rsidRPr="00706696" w:rsidRDefault="00706696" w:rsidP="0070669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0669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 результатами аналізу наявних даних за відповідними показниками </w:t>
      </w:r>
      <w:r w:rsidRPr="0070669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негативної динаміки, яка б свідчила про погіршення стану довкілля або негативний вплив реалізації Стратегії на здоров’я населення, не виявлено</w:t>
      </w:r>
      <w:r w:rsidRPr="0070669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706696" w:rsidRPr="00706696" w:rsidRDefault="00706696" w:rsidP="0070669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0669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Разом з тим, з метою забезпечення системного спостереження за можливими наслідками реалізації Стратегії, доцільно продовжити моніторинг визначених показників та, за необхідності, удосконалювати їх перелік з урахуванням актуальних екологічних, соціальних та </w:t>
      </w:r>
      <w:proofErr w:type="spellStart"/>
      <w:r w:rsidRPr="00706696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безпекових</w:t>
      </w:r>
      <w:proofErr w:type="spellEnd"/>
      <w:r w:rsidRPr="0070669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умов громади.</w:t>
      </w:r>
    </w:p>
    <w:p w:rsidR="00F11F68" w:rsidRPr="00F11F68" w:rsidRDefault="00706696" w:rsidP="00B50CA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4</w:t>
      </w:r>
      <w:r w:rsidR="00F11F68" w:rsidRPr="00F11F6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. Основні чинники, що впливали на реалізацію Стратегії</w:t>
      </w:r>
    </w:p>
    <w:p w:rsidR="00F11F68" w:rsidRPr="00F11F68" w:rsidRDefault="00F11F68" w:rsidP="00B50CA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На результати реалізації Стратегії у 2025 році впливали як позитивні, так і стримуючі чинники.</w:t>
      </w:r>
    </w:p>
    <w:p w:rsidR="00F11F68" w:rsidRPr="00F11F68" w:rsidRDefault="00F11F68" w:rsidP="00B50C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До позитивних чинників належать:</w:t>
      </w:r>
    </w:p>
    <w:p w:rsidR="00F11F68" w:rsidRPr="00F11F68" w:rsidRDefault="00F11F68" w:rsidP="00B50CA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активна взаємодія органів місцевого самоврядування з громадськими організаціями, мешканцями, міжнародними партнерами та представниками бізнесу;</w:t>
      </w:r>
    </w:p>
    <w:p w:rsidR="00F11F68" w:rsidRPr="00F11F68" w:rsidRDefault="00F11F68" w:rsidP="00B50CA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участь громади у національних та міжнародних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проєктах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F11F68" w:rsidRPr="00F11F68" w:rsidRDefault="00F11F68" w:rsidP="00B50CA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розвиток цифрових сервісів;</w:t>
      </w:r>
    </w:p>
    <w:p w:rsidR="00F11F68" w:rsidRPr="00F11F68" w:rsidRDefault="00F11F68" w:rsidP="00B50CA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розширення партнерства у сфері енергоефективності;</w:t>
      </w:r>
    </w:p>
    <w:p w:rsidR="00F11F68" w:rsidRPr="00F11F68" w:rsidRDefault="00F11F68" w:rsidP="00B50CA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пошук та залучення додаткових ресурсів для реалізації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проєктів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розвитку;</w:t>
      </w:r>
    </w:p>
    <w:p w:rsidR="00F11F68" w:rsidRPr="00F11F68" w:rsidRDefault="00F11F68" w:rsidP="00B50CA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активізація громадських та культурних ініціатив.</w:t>
      </w:r>
    </w:p>
    <w:p w:rsidR="00EA7B08" w:rsidRDefault="00EA7B08" w:rsidP="00B50CA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11F68" w:rsidRPr="00F11F68" w:rsidRDefault="00F11F68" w:rsidP="00B50CA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Серед основних чинників, що стримували реалізацію окремих заходів та впливали на динаміку показників, слід зазначити:</w:t>
      </w:r>
    </w:p>
    <w:p w:rsidR="00F11F68" w:rsidRPr="00F11F68" w:rsidRDefault="00F11F68" w:rsidP="00B50CAF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обмеженість фінансових ресурсів місцевого бюджету;</w:t>
      </w:r>
    </w:p>
    <w:p w:rsidR="00F11F68" w:rsidRPr="00F11F68" w:rsidRDefault="00F11F68" w:rsidP="00B50CAF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необхідність першочергового спрямування бюджетних коштів на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безпекові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соціальні потреби;</w:t>
      </w:r>
    </w:p>
    <w:p w:rsidR="00F11F68" w:rsidRPr="00F11F68" w:rsidRDefault="00F11F68" w:rsidP="00B50CAF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вплив воєнного стану;</w:t>
      </w:r>
    </w:p>
    <w:p w:rsidR="00F11F68" w:rsidRPr="00F11F68" w:rsidRDefault="00F11F68" w:rsidP="00B50CAF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необхідність залучення додаткових зовнішніх ресурсів для реалізації капітальних та інфраструктурних </w:t>
      </w:r>
      <w:proofErr w:type="spellStart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проєктів</w:t>
      </w:r>
      <w:proofErr w:type="spellEnd"/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F11F68" w:rsidRDefault="00F11F68" w:rsidP="00B50CAF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11F68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відсутність актуальних даних за окремими показниками.</w:t>
      </w:r>
    </w:p>
    <w:p w:rsidR="00B50CAF" w:rsidRPr="00486951" w:rsidRDefault="00B50CAF" w:rsidP="00B50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48695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Начальник відділу економічного аналізу</w:t>
      </w:r>
    </w:p>
    <w:p w:rsidR="00B50CAF" w:rsidRPr="00486951" w:rsidRDefault="00B50CAF" w:rsidP="00B50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48695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та стратегічного планування</w:t>
      </w:r>
      <w:r w:rsidRPr="0048695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Pr="0048695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Pr="0048695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Pr="0048695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Pr="0048695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Pr="0048695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  <w:t>Алла ЛІЩУК</w:t>
      </w:r>
    </w:p>
    <w:p w:rsidR="00B50CAF" w:rsidRPr="00F11F68" w:rsidRDefault="00B50CAF" w:rsidP="00B50C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sectPr w:rsidR="00B50CAF" w:rsidRPr="00F11F6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1243"/>
    <w:multiLevelType w:val="multilevel"/>
    <w:tmpl w:val="8ED88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2073C8"/>
    <w:multiLevelType w:val="multilevel"/>
    <w:tmpl w:val="2520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7A5291"/>
    <w:multiLevelType w:val="multilevel"/>
    <w:tmpl w:val="78A00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252E61"/>
    <w:multiLevelType w:val="multilevel"/>
    <w:tmpl w:val="1518A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F7199D"/>
    <w:multiLevelType w:val="multilevel"/>
    <w:tmpl w:val="A2A06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2E4760"/>
    <w:multiLevelType w:val="multilevel"/>
    <w:tmpl w:val="C62C3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F65386"/>
    <w:multiLevelType w:val="multilevel"/>
    <w:tmpl w:val="2786A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567585"/>
    <w:multiLevelType w:val="multilevel"/>
    <w:tmpl w:val="65DAF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4B4AE8"/>
    <w:multiLevelType w:val="multilevel"/>
    <w:tmpl w:val="E80CB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F209DE"/>
    <w:multiLevelType w:val="multilevel"/>
    <w:tmpl w:val="709A5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4F0FC8"/>
    <w:multiLevelType w:val="multilevel"/>
    <w:tmpl w:val="338E5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C4508E"/>
    <w:multiLevelType w:val="multilevel"/>
    <w:tmpl w:val="19C88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C10B27"/>
    <w:multiLevelType w:val="multilevel"/>
    <w:tmpl w:val="076AE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4F6D3D"/>
    <w:multiLevelType w:val="multilevel"/>
    <w:tmpl w:val="3B826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0321C6"/>
    <w:multiLevelType w:val="multilevel"/>
    <w:tmpl w:val="B9D47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943303"/>
    <w:multiLevelType w:val="multilevel"/>
    <w:tmpl w:val="92AEB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7330F9"/>
    <w:multiLevelType w:val="multilevel"/>
    <w:tmpl w:val="D5FA5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150F07"/>
    <w:multiLevelType w:val="multilevel"/>
    <w:tmpl w:val="485432F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4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5"/>
  </w:num>
  <w:num w:numId="9">
    <w:abstractNumId w:val="5"/>
  </w:num>
  <w:num w:numId="10">
    <w:abstractNumId w:val="16"/>
  </w:num>
  <w:num w:numId="11">
    <w:abstractNumId w:val="8"/>
  </w:num>
  <w:num w:numId="12">
    <w:abstractNumId w:val="12"/>
  </w:num>
  <w:num w:numId="13">
    <w:abstractNumId w:val="7"/>
  </w:num>
  <w:num w:numId="14">
    <w:abstractNumId w:val="13"/>
  </w:num>
  <w:num w:numId="15">
    <w:abstractNumId w:val="2"/>
  </w:num>
  <w:num w:numId="16">
    <w:abstractNumId w:val="9"/>
  </w:num>
  <w:num w:numId="17">
    <w:abstractNumId w:val="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832"/>
    <w:rsid w:val="0022675A"/>
    <w:rsid w:val="00342F30"/>
    <w:rsid w:val="00486951"/>
    <w:rsid w:val="00574E35"/>
    <w:rsid w:val="005E2BBA"/>
    <w:rsid w:val="00706696"/>
    <w:rsid w:val="009D5654"/>
    <w:rsid w:val="00A51832"/>
    <w:rsid w:val="00B208F3"/>
    <w:rsid w:val="00B50CAF"/>
    <w:rsid w:val="00C51EF2"/>
    <w:rsid w:val="00CB7BBB"/>
    <w:rsid w:val="00D74AD5"/>
    <w:rsid w:val="00EA7B08"/>
    <w:rsid w:val="00F11F68"/>
    <w:rsid w:val="00FB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B1FE0"/>
  <w15:chartTrackingRefBased/>
  <w15:docId w15:val="{52E21B42-4BA2-4502-B67B-D5DDE719B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B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7B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7B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5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0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3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6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6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7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9065</Words>
  <Characters>5168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Ліщук</dc:creator>
  <cp:keywords/>
  <dc:description/>
  <cp:lastModifiedBy>Алла Ліщук</cp:lastModifiedBy>
  <cp:revision>6</cp:revision>
  <cp:lastPrinted>2026-08-31T07:26:00Z</cp:lastPrinted>
  <dcterms:created xsi:type="dcterms:W3CDTF">2026-08-17T05:51:00Z</dcterms:created>
  <dcterms:modified xsi:type="dcterms:W3CDTF">2026-08-31T07:27:00Z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f4d4f55d-e563-45d3-9179-49110395718b</vt:lpwstr>
  </property>
</Properties>
</file>