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A21" w:rsidRDefault="00CA63D2" w:rsidP="00C31A2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Додаток 3</w:t>
      </w:r>
      <w:r w:rsidR="00C31A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bookmarkStart w:id="0" w:name="_GoBack"/>
      <w:bookmarkEnd w:id="0"/>
      <w:r w:rsidR="00C31A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до рішення чергової 87-ї сесії</w:t>
      </w:r>
    </w:p>
    <w:p w:rsidR="00C31A21" w:rsidRDefault="00C31A21" w:rsidP="00C31A2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Боярської міської ради від 27.08.2026 № 87/4701</w:t>
      </w:r>
    </w:p>
    <w:p w:rsidR="00C31A21" w:rsidRDefault="00C31A21" w:rsidP="00C31A2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81591F" w:rsidRPr="0081591F" w:rsidRDefault="0081591F" w:rsidP="00C31A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ПОЯСНЮВАЛЬНА ЗАПИСКА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 Звіту про результати проведення моніторингу Плану заходів на 2025–2027 роки з реалізації Стратегії розвитку Боярської міської територіальної громади до 2027 року за І півріччя 2026 року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Загальні положення</w:t>
      </w:r>
    </w:p>
    <w:p w:rsidR="0081591F" w:rsidRPr="0081591F" w:rsidRDefault="0081591F" w:rsidP="008159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Пояснювальну записку підготовлено до Звіту про результати проведення моніторингу Плану заходів на 2025–2027 роки з реалізації Стратегії розвитку Боярської міської територіальної громади до 2027 року (далі – План заходів) за І півріччя 2026 року.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Моніторинг проведено з метою оцінки стану реалізації передбачених Планом заходів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місцевого розвитку, місцевих програм та організаційних заходів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визначення фактичних результатів їх виконання, стану фінансування, виявлення проблем та чинників, що впливають на досягнення запланованих результатів, а також визначення пріоритетів подальшої реалізації Стратегії.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Інформацію для проведення моніторингу надано відповідальними структурними підрозділами Боярської міської ради, комунальними підприємствами, установами та іншими виконавцями Плану заходів.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результатами моніторингу оцінено стан реалізації передбачених Планом заходів у розрізі стратегічних та оперативних цілей Стратегії розвитку Боярської міської територіальної громади до 2027 року.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Реалізація Плану заходів у звітному періоді здійснювалася в умовах воєнного стану, обмеженості фінансових ресурсів місцевого бюджету та необхідності першочергового забезпечення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безпекових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соціальних і критично важливих потреб громади. Зазначені обставини вплинули на строки та можливість реалізації окремих інфраструктурних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особливо тих, що потребують значних капітальних видатків, залучення коштів державного бюджету, міжнародної технічної допомоги або інших зовнішніх джерел.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моніторинг свідчить, що за значною кількістю напрямів робота продовжувалася шляхом виконання поточних заходів, підготовки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проєктно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-кошторисної документації, пошуку фінансування, подання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проєктних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заявок, залучення міжнародних партнерів, інформаційної та консультаційної підтримки населення і бізнесу.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Важливою особливістю моніторингу є те, що оцінювання проводилося не лише за фактом завершення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й за досягненням відповідних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індикаторів та показників результативності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передбачених Планом заходів.</w:t>
      </w:r>
    </w:p>
    <w:p w:rsidR="0081591F" w:rsidRPr="0081591F" w:rsidRDefault="00F61DDC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lastRenderedPageBreak/>
        <w:t>2</w:t>
      </w:r>
      <w:r w:rsidR="0081591F"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 Результати реалізації Плану заходів у розрізі стратегічних цілей</w:t>
      </w:r>
    </w:p>
    <w:p w:rsidR="0081591F" w:rsidRPr="0081591F" w:rsidRDefault="0081591F" w:rsidP="004C11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Стратегічна ціль 1«Прозора, згуртована, комфортна для життя громада, яка дбає про розвиток і збереження культурних цінностей»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межах Стратегічної цілі 1 реалізація Плану заходів здійснювалася за оперативними цілями:</w:t>
      </w:r>
    </w:p>
    <w:p w:rsidR="0081591F" w:rsidRPr="0081591F" w:rsidRDefault="0081591F" w:rsidP="0081591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1.1 –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Впізнавана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прозора громада; </w:t>
      </w:r>
    </w:p>
    <w:p w:rsidR="0081591F" w:rsidRPr="0081591F" w:rsidRDefault="0081591F" w:rsidP="0081591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1.2 – Громада взаємної довіри та взаємодопомоги; </w:t>
      </w:r>
    </w:p>
    <w:p w:rsidR="0081591F" w:rsidRPr="0081591F" w:rsidRDefault="0081591F" w:rsidP="0081591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1.3 – Розумно спланована та комфортна для проживання громада; </w:t>
      </w:r>
    </w:p>
    <w:p w:rsidR="0081591F" w:rsidRPr="0081591F" w:rsidRDefault="0081591F" w:rsidP="0081591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1.4 – Громада культури і духовності. 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Відкритість, прозорість та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цифровізація</w:t>
      </w:r>
      <w:proofErr w:type="spellEnd"/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І півріччі 2026 року продовжувалася робота щодо забезпечення відкритості діяльності органів місцевого самоврядування та розвитку цифрових інструментів.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Єдиному державному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вебпорталі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відкритих даних опубліковано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 наборів із 43 затверджених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становить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47 %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Проведено атестацію посадових осіб місцевого самоврядування та розроблено індивідуальні програми професійного розвитку.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90 % посадових осіб виконавчого комітету Боярської міської ради пройшли у І півріччі 2026 року навчання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програмами НАДС та інших освітніх платформ.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Проведено навчальні заходи з питань штучного інтелекту та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кібербезпеки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 Окремі структурні підрозділи забезпечені інструментами на основі штучного інтелекту для підвищення ефективності виконання службових завдань.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Доброчесність та антикорупційна політика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Навчальний курс для активних мешканців громади з питань доброчесності та управління корупційними ризиками у звітному періоді не створено.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інформаційно-просвітницька робота продовжувалася. У І півріччі 2026 року на сайті Боярської міської ради розміщено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 освітні матеріали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питань доброчесності та запобігання корупції, мешканців ознайомлено з інтерактивними інформаційними матеріалами та рекомендаціями щодо здійснення громадського контролю.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Громадська участь та взаємодія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Окремі заходи щодо розвитку громадянського суспільства, волонтерської діяльності та актуалізації інформації про громадські організації виконувалися частково або залишалися на стадії підготовки.</w:t>
      </w:r>
    </w:p>
    <w:p w:rsidR="0081591F" w:rsidRPr="0081591F" w:rsidRDefault="00437704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</w:t>
      </w:r>
      <w:r w:rsidR="0081591F"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родовжувалося функціонування громадських просторів, створених у попередні періоди, які використовувалися для проведення заходів та взаємодії мешканців громади.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Просторовий розвиток та комфортне середовище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сфері містобудування продовжувалося розроблення генеральних планів та детальних планів територій.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Розпочато процедури щодо розроблення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 детальних планів територій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розміщення промислових, логістичних, спортивних та інших об’єктів.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Виконується робота з розроблення концепції інтегрованого розвитку Боярської міської територіальної громади; за відповідним заходом зазначено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50 % виконання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стадії завершення перебував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нового будівництва майданчика для стоянки транспортних засобів біля платформи залізничної станції «Тарасівка».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Забезпечувалося утримання об’єктів благоустрою, дорожньої інфраструктури та громадських просторів.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Міжнародне та міжмуніципальне співробітництво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Одним із найбільш результативних напрямів Стратегічної цілі 1 стало розширення міжнародного співробітництва.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Досягнуто домовленостей із містом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Райнбек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(Німеччина) щодо налагодження співробітництва між закладами освіти та обміну досвідом. Міський голова О. Зарубін відвідав місто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Штендаль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(Німеччина) як потенційного партнера громади.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Представники виконавчого комітету Боярської міської ради взяли участь у міжнародних заходах та навчальних візитах до Словенії, Молдови, Італії та Норвегії.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Боярська громада представила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проєкти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на Конференції з відновлення України URC2026 у Гданську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було спрямовано на пошук міжнародних партнерів та донорів.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Представники громади взяли участь у форумі Стратегії ЄС для регіону Балтійського моря (EUSBSR) та засіданні Виконавчого комітету Об’єднання Балтійських міст (UBC), за результатами чого Боярська громада отримала статус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Асоційованого члена UBC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Проведено робочі зустрічі з представниками бельгійської агенції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Enabel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участю БФ «Пацієнти України» щодо розвитку медичної галузі громади.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Також підписано Угоду про тристороннє партнерство між громадами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Нерінга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(Литва), Боярка та Коблево.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Інформаційна комунікація та промоція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І півріччі 2026 року на офіційній сторінці Боярської міської ради у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Facebook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кількість нових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підписників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становила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783 особи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загальна кількість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підписників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8 509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кількість переглядів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3,4 млн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кількість унікальних глядачів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350,1 тис.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взаємодій із контентом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57 407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За звітний період опубліковано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884 інформаційні матеріали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Промоційна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продукція та символіка Боярської міської територіальної громади були представлені більш ніж на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15 міжнародних заходах за кордоном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також під час численних заходів в Україні.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Культура та збереження історичної пам’яті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сфері культури продовжувалася робота щодо збереження та популяризації культурної спадщини громади.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Заходи щодо дослідження нематеріальної культурної спадщини реалізовувалися; у моніторингових таблицях зазначено результат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визначення місць розташування та встановлення стендів для проведення вуличних виставок митців громади у звітному періоді не реалізовано.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Окремим напрямом залишалося збереження історичної пам’яті та вшанування Захисників і Захисниць України.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І півріччі 2026 року проведено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37 поховань військовослужбовців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відкрито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 Алеї пам’яті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проведено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 меморіальних і пам’ятних заходів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Default="0081591F" w:rsidP="000B6A1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Стратегічна ціль 2</w:t>
      </w:r>
      <w:r w:rsidR="000B6A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«Енергоощадна, цифрова громада, яка підтримує та заохочує розвиток бізнесу»</w:t>
      </w:r>
    </w:p>
    <w:p w:rsidR="00437704" w:rsidRPr="0081591F" w:rsidRDefault="00437704" w:rsidP="0043770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 межах Стратегічної цілі 2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реалізація Плану заходів здійснювалася за оперативними цілями:</w:t>
      </w:r>
    </w:p>
    <w:p w:rsidR="00437704" w:rsidRPr="00437704" w:rsidRDefault="00437704" w:rsidP="00437704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7704">
        <w:rPr>
          <w:rFonts w:ascii="Times New Roman" w:eastAsia="Times New Roman" w:hAnsi="Times New Roman" w:cs="Times New Roman"/>
          <w:sz w:val="28"/>
          <w:szCs w:val="28"/>
          <w:lang w:eastAsia="uk-UA"/>
        </w:rPr>
        <w:t>2.1 – Громада з розвинутим підприємництвом та сприятливим інвестиційним кліматом</w:t>
      </w:r>
    </w:p>
    <w:p w:rsidR="00437704" w:rsidRPr="00437704" w:rsidRDefault="00437704" w:rsidP="00437704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7704">
        <w:rPr>
          <w:rFonts w:ascii="Times New Roman" w:eastAsia="Times New Roman" w:hAnsi="Times New Roman" w:cs="Times New Roman"/>
          <w:sz w:val="28"/>
          <w:szCs w:val="28"/>
          <w:lang w:eastAsia="uk-UA"/>
        </w:rPr>
        <w:t>2.2 – Цифрова громада</w:t>
      </w:r>
    </w:p>
    <w:p w:rsidR="00437704" w:rsidRPr="00437704" w:rsidRDefault="00437704" w:rsidP="00437704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7704">
        <w:rPr>
          <w:rFonts w:ascii="Times New Roman" w:eastAsia="Times New Roman" w:hAnsi="Times New Roman" w:cs="Times New Roman"/>
          <w:sz w:val="28"/>
          <w:szCs w:val="28"/>
          <w:lang w:eastAsia="uk-UA"/>
        </w:rPr>
        <w:t>2.3 –Енергоощадна і «зелена» громада</w:t>
      </w:r>
    </w:p>
    <w:p w:rsidR="0081591F" w:rsidRPr="0081591F" w:rsidRDefault="0081591F" w:rsidP="0043770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Підприємництво та інвестиційна діяльність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 межах Програми розвитку мікро-, малого та середнього підприємництва у Боярській міській територіальній громаді здійснювалося інформаційне та консультаційне супроводження суб’єктів господарювання.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І півріччі 2026 року на офіційному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вебсайті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Боярської міської ради розміщено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19 інформаційних матеріалів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щодо грантових можливостей, навчання, конкурсів та інших інструментів підтримки бізнесу, а також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12 публікацій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сторінці Управління міжнародного співробітництва, економічного аналізу та стратегічних комунікацій.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17 зустрічей «П’ятниця з мером»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під час яких, зокрема, забезпечувалася комунікація з представниками бізнесу. Надано консультації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25 підприємцям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системи DREAM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внесено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13 інвестиційних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 яких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 включено до Єдиного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проєктного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портфеля громади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інвестиційний паспорт громади у звітному періоді не розроблявся. Заплановані заходи зі створення офісу (інкубатора) підтримки розвитку підприємництва також не реалізовано.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проводилося </w:t>
      </w:r>
      <w:r w:rsidR="0043770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передбаченого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Планом дослідження серед місцевих підприємців щодо визначення їхніх інтересів та точок взаємодії.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Цифрова громада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Усі працівники виконавчого комітету Боярської міської ради працюють у системі електронного документообігу.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звітному періоді проведено навчальні заходи з питань штучного інтелекту та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кібербезпеки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продовжувалося підвищення цифрової компетентності працівників.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громаді функціонують електронні сервіси, зокрема електронна черга до закладів дошкільної освіти та цифрові інструменти для сплати податків.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Опубліковано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 наборів відкритих даних із 43 затверджених (47 %)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Стратегія цифрового розвитку Боярської громади у звітному періоді не розроблена та залишається у планах.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Також не виконувалися окремі заходи з аналізу наявних інформаційних систем та бізнесів цифрового спрямування, які мають бути залучені до розроблення Стратегії цифрового розвитку.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Енергоефективність та «зелений» перехід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Продовжувалася підготовка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термомодернізації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81591F" w:rsidRPr="0081591F" w:rsidRDefault="0081591F" w:rsidP="008159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Боярського академічного ліцею «Престиж»; </w:t>
      </w:r>
    </w:p>
    <w:p w:rsidR="0081591F" w:rsidRPr="0081591F" w:rsidRDefault="0081591F" w:rsidP="008159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корпуса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поліклініки КНП «ЛІЛ»; </w:t>
      </w:r>
    </w:p>
    <w:p w:rsidR="0081591F" w:rsidRPr="0081591F" w:rsidRDefault="0081591F" w:rsidP="008159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Тарасівського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ЗДО «Віночок»; </w:t>
      </w:r>
    </w:p>
    <w:p w:rsidR="0081591F" w:rsidRPr="0081591F" w:rsidRDefault="0081591F" w:rsidP="008159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Новосілківської гімназії; </w:t>
      </w:r>
    </w:p>
    <w:p w:rsidR="0081591F" w:rsidRPr="0081591F" w:rsidRDefault="0081591F" w:rsidP="008159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Боярського академічного ліцею «Лідер». 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І півріччі 2026 року за зазначеними об’єктами здійснювалося розроблення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проєктної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документації.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Постійно здійснювався моніторинг грантових можливостей щодо модернізації, реконструкції та розширення мережі вуличного освітлення.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захід щодо визначення місць та встановлення енергонезалежних точок доступу до громадського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Wi-Fi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звітному періоді не реалізовувався та залишається у планах.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Стратегічна ціль 3</w:t>
      </w:r>
      <w:r w:rsidR="000B6A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«Стійка до сучасних викликів,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безбар’єрна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громада, доступ до освіти, спорту, соціальних та медичних послуг»</w:t>
      </w:r>
    </w:p>
    <w:p w:rsidR="0081591F" w:rsidRPr="0081591F" w:rsidRDefault="0081591F" w:rsidP="00CA63D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Стратегічна ціль 3 охоплює найбільшу кількість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програм та заходів і потребує значного обсягу фінансових ресурсів, тому саме за цією ціллю спостерігається найбільша кількість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реалізація яких залежить від фінансування та готовності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проєктно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-кошторисної документації.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Чисте довкілля та адаптація до кліматичних змін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Проведено комісійні обстеження зелених насаджень із виїздом на місцевість та складено акти щодо зелених насаджень, які підлягають видаленню, санітарному очищенню, коронуванню та обрізці.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парку ім. Тараса Шевченка висаджено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20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сосен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звичайних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 що використано </w:t>
      </w:r>
      <w:r w:rsidR="000B6A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місцевого бюджету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23,6 тис. грн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Ліквідовано несанкціоноване сміттєзвалище обсягом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1 135 куб. м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загальну суму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660,57 тис. грн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Проведено заходи «днів чистоти», а також інформаційно-просвітницькі заходи екологічного спрямування.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Центрі еколого-натуралістичної творчості «ЮННАТИ» проведено зустріч із учасниками міжнародної освітньої кампанії «ZOOM – діти захищають клімат».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Місцевий план управління відходами Боярської міської територіальної громади станом на І півріччя 2026 року не розроблено.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Продовжується робота зі створення індустріального парку «Боярка». Після опрацювання зауважень доопрацьовано та повторно подано до Міністерства економіки України пакет документів щодо його реєстрації.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Стійкість громади до сучасних викликів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І півріччі 2026 року будівництво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бюветів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території громади не здійснювалося.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сфері забезпечення комунальних закладів альтернативними та безперебійними джерелами енергії робота продовжується. 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Безпечна та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безбар’єрна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громада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межах оперативної цілі щодо підвищення рівня безпеки передбачено реалізацію інфраструктурних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із розбудови мережі споруд цивільного захисту.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проєктами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капітального ремонту протирадіаційних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 159562 та № 159533 за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адресою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вул. Соборності, 51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проєктно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-кошторисна документація потребує коригування.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реконструкції будівлі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Забірської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дільничної лікарні з амбулаторією та добудовою приміщення відділення для осіб, які потребують стороннього догляду, потребує фінансування.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капітального ремонту дороги з прокладанням газопроводу для газифікації обслуговуючих кооперативів «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Рябинки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» та «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Рябинки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2» у с.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Малютянка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звітному періоді не реалізовувався через відсутність фінансування.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значний обсяг робіт виконано у сфері вуличного освітлення:</w:t>
      </w:r>
    </w:p>
    <w:p w:rsidR="0081591F" w:rsidRPr="0081591F" w:rsidRDefault="0081591F" w:rsidP="0081591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замінено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5 000 м електроліній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:rsidR="0081591F" w:rsidRPr="0081591F" w:rsidRDefault="0081591F" w:rsidP="0081591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48 ламп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замінено на енергозберігаючі; </w:t>
      </w:r>
    </w:p>
    <w:p w:rsidR="0081591F" w:rsidRPr="0081591F" w:rsidRDefault="0081591F" w:rsidP="0081591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відремонтовано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35 щитів керування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вуличним освітленням. 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Зазначені заходи безпосередньо сприяють підвищенню рівня безпеки мешканців та покращенню стану інфраструктури.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ремонт ліфтового господарства багатоповерхових житлових будинків використано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259,81 тис. грн місцевого бюджету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1730EB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81591F"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кремі капітальні </w:t>
      </w:r>
      <w:proofErr w:type="spellStart"/>
      <w:r w:rsidR="0081591F"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проєкти</w:t>
      </w:r>
      <w:proofErr w:type="spellEnd"/>
      <w:r w:rsidR="0081591F"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щодо реконструкції громадських і соціальних об’єктів у звітному періоді не реалізовувалися.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Освіта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Одним із ключових напрямів реалізації Стратегічної цілі 3 залишається створення безпечного та доступного освітнього середовища.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проєктом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нового будівництва укриття на території Боярської ЗОШ І–ІІІ ступенів № 1 роботи тривають.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Розпочато роботи з реконструкції з добудовою приміщення Боярської ЗОШ І–ІІІ ступенів № 1.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проєктом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нового будівництва споруди подвійного призначення із захисними властивостями ПРУ ДНЗ «Берізка» триває тендерна процедура.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Капітальний ремонт протирадіаційного укриття Боярського академічного ліцею «Престиж» перебуває на етапі завершення.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будівництво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території Боярського академічного ліцею «Лідер» та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Малютянської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гімназії у звітному періоді не реалізовувалося.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облаштування найпростіших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закладах дошкільної освіти потребують фінансування або перебувають на етапі підготовки.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Позитивним результатом є реалізація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«Фінансова освіта в громаді»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8-х класах закладів освіти запроваджено навчальний предмет «Підприємництво і фінансова грамотність». 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сфері психологічної підтримки дітей проведено заняття та тренінги, спрямовані на формування навичок самоусвідомлення, саморегуляції та емпатії.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створення шкільного медіацентру, центру професійного розвитку педагогічних працівників, а також проведення регулярних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хакатонів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технологічних фестивалів не продемонстрували запланованого результату.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Молодь, спорт і здоровий спосіб життя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сфері розвитку спортивної інфраструктури передбачено розширення мережі спортивних майданчиків, у тому числі для занять адаптивними видами спорту.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Цільовий показник створення не менше трьох нових спортивних майданчиків у І півріччі 2026 року не досягнуто.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у м. Боярка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реалізовано захід зі створення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мультифункціонального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спортивного майданчика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Продовжувався процес створення активного парку в парку ім. Тараса Шевченка.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У рамках розвитку туризму реалізовувався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екологічного туризму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«Долина двох рік»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Княжичах та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Жорнівці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встановлено інформаційні стенди. На реалізацію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60,0 тис. грн місцевого бюджету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с.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Малютянка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визначено та найменовано парк площею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5,3964 га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екопарк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«Болотними стежками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Малютянки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Охорона здоров’я та реабілітація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сфері охорони здоров’я реалізовувалися програми фінансової підтримки та розвитку комунальних закладів охорони здоров’я.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Фактичні видатки становили:</w:t>
      </w:r>
    </w:p>
    <w:p w:rsidR="0081591F" w:rsidRPr="0081591F" w:rsidRDefault="0081591F" w:rsidP="0081591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фінансову підтримку КНП «ЦПМСД»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5 125,26 тис. грн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:rsidR="0081591F" w:rsidRPr="0081591F" w:rsidRDefault="0081591F" w:rsidP="0081591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розвиток та підтримку КНП «ЛІЛ»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9 153,32 тис. грн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:rsidR="0081591F" w:rsidRPr="0081591F" w:rsidRDefault="0081591F" w:rsidP="0081591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підтримку КНП «Стоматологічна поліклініка»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1 111,41 тис. грн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:rsidR="0081591F" w:rsidRPr="0081591F" w:rsidRDefault="0081591F" w:rsidP="0081591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забезпечення пільгових категорій населення лікарськими засобами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1 664,8 тис. грн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КНП «ЦПМСД БМР» забезпечено альтернативними джерелами електроживлення заклади охорони здоров’я, за винятком АЗПСМ № 5, яка перебуває у стадії реконструкції.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І півріччі 2026 року проведено профілактичні огляди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12 225 пацієнтам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становить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36,78 %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загальної кількості задекларованого населення.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Позитивним результатом є початок робіт з реконструкції з розширенням приймального відділення КНП «ЛІЛ» БМР.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Соціальні послуги та підтримка ветеранів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соціальній сфері продовжувалася реалізація програми соціальної підтримки населення БМТГ «Турбота».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Здійснювалися заходи щодо підтримки внутрішньо переміщених осіб. На окремій сторінці порталу Боярської міської ради постійно оновлюється інформація для ВПО, зокрема щодо змін законодавства, соціальної підтримки та діяльності Ради ВПО.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Розпочато роботу щодо підготовки програми інтеграції ВПО.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Заходи із забезпечення допомоги особам, які постраждали від домашнього насильства, продовжувалися.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межах підтримки ветеранів та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ветеранок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розробку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проєктно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-кошторисної документації для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«Створення ветеранського простору для ефективної психологічної, професійної реабілітації, реадаптації та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соціально-економічної реінтеграції ветеранів війни»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885,498 тис. грн місцевого бюджету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CA63D2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</w:t>
      </w:r>
      <w:r w:rsidR="0081591F"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 Основні проблеми та ризики реалізації Плану заходів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результатами моніторингу основними чинниками, що стримують реалізацію окремих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програм та заходів, визначено:</w:t>
      </w:r>
    </w:p>
    <w:p w:rsidR="0081591F" w:rsidRPr="0081591F" w:rsidRDefault="0081591F" w:rsidP="0081591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Недостатність фінансових ресурсів місцевого бюджету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одночасної реалізації всіх запланованих капітальних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81591F" w:rsidRPr="0081591F" w:rsidRDefault="0081591F" w:rsidP="0081591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Залежність від державного та зовнішнього фінансування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особливо для великих інфраструктурних, освітніх, медичних та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безпекових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81591F" w:rsidRPr="0081591F" w:rsidRDefault="0081591F" w:rsidP="0081591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Необхідність коригування </w:t>
      </w:r>
      <w:proofErr w:type="spellStart"/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проєктно</w:t>
      </w:r>
      <w:proofErr w:type="spellEnd"/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-кошторисної документації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впливає на строки реалізації окремих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81591F" w:rsidRPr="0081591F" w:rsidRDefault="0081591F" w:rsidP="00D7724B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Концентрація фінансових та організаційних ресурсів на </w:t>
      </w:r>
      <w:proofErr w:type="spellStart"/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безпекових</w:t>
      </w:r>
      <w:proofErr w:type="spellEnd"/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і критично важливих потребах громади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умовах воєнного стану. </w:t>
      </w:r>
    </w:p>
    <w:p w:rsidR="0081591F" w:rsidRPr="0081591F" w:rsidRDefault="0081591F" w:rsidP="0081591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Залежність окремих результатів від рішень інших органів державної влади, донорських організацій та потенційних партнерів.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81591F" w:rsidRPr="0081591F" w:rsidRDefault="0081591F" w:rsidP="0081591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Висока капіталомісткість інфраструктурних </w:t>
      </w:r>
      <w:proofErr w:type="spellStart"/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передбачених Планом заходів, що зумовлює необхідність їх поетапної реалізації. </w:t>
      </w:r>
    </w:p>
    <w:p w:rsidR="0081591F" w:rsidRPr="0081591F" w:rsidRDefault="00CA63D2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5</w:t>
      </w:r>
      <w:r w:rsidR="0081591F"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. Висновки </w:t>
      </w:r>
    </w:p>
    <w:p w:rsidR="0081591F" w:rsidRPr="0081591F" w:rsidRDefault="0081591F" w:rsidP="00CA63D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 підсумками проведеного моніторингу доцільно продовжити реалізацію Плану заходів на 2025–2027 роки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зосередивши подальшу роботу на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проєктах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заходах, які мають найбільший вплив на безпеку, стійкість, доступність послуг, енергоефективність, економічний розвиток та якість життя мешканців Боярської міської територіальної громади.</w:t>
      </w:r>
    </w:p>
    <w:p w:rsidR="0081591F" w:rsidRPr="00C31A21" w:rsidRDefault="0081591F" w:rsidP="008159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82478" w:rsidRPr="0081591F" w:rsidRDefault="00F82478" w:rsidP="008159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91F">
        <w:rPr>
          <w:rFonts w:ascii="Times New Roman" w:hAnsi="Times New Roman" w:cs="Times New Roman"/>
          <w:b/>
          <w:sz w:val="28"/>
          <w:szCs w:val="28"/>
        </w:rPr>
        <w:t>Начальник відділу</w:t>
      </w:r>
    </w:p>
    <w:p w:rsidR="00F82478" w:rsidRPr="0081591F" w:rsidRDefault="00F82478" w:rsidP="008159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91F">
        <w:rPr>
          <w:rFonts w:ascii="Times New Roman" w:hAnsi="Times New Roman" w:cs="Times New Roman"/>
          <w:b/>
          <w:sz w:val="28"/>
          <w:szCs w:val="28"/>
        </w:rPr>
        <w:t xml:space="preserve">економічного аналізу та </w:t>
      </w:r>
    </w:p>
    <w:p w:rsidR="00591161" w:rsidRPr="0081591F" w:rsidRDefault="00F82478" w:rsidP="008159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91F">
        <w:rPr>
          <w:rFonts w:ascii="Times New Roman" w:hAnsi="Times New Roman" w:cs="Times New Roman"/>
          <w:b/>
          <w:sz w:val="28"/>
          <w:szCs w:val="28"/>
        </w:rPr>
        <w:t>стратегічного планування</w:t>
      </w:r>
      <w:r w:rsidRPr="0081591F">
        <w:rPr>
          <w:rFonts w:ascii="Times New Roman" w:hAnsi="Times New Roman" w:cs="Times New Roman"/>
          <w:b/>
          <w:sz w:val="28"/>
          <w:szCs w:val="28"/>
        </w:rPr>
        <w:tab/>
      </w:r>
      <w:r w:rsidRPr="0081591F">
        <w:rPr>
          <w:rFonts w:ascii="Times New Roman" w:hAnsi="Times New Roman" w:cs="Times New Roman"/>
          <w:b/>
          <w:sz w:val="28"/>
          <w:szCs w:val="28"/>
        </w:rPr>
        <w:tab/>
      </w:r>
      <w:r w:rsidRPr="0081591F">
        <w:rPr>
          <w:rFonts w:ascii="Times New Roman" w:hAnsi="Times New Roman" w:cs="Times New Roman"/>
          <w:b/>
          <w:sz w:val="28"/>
          <w:szCs w:val="28"/>
        </w:rPr>
        <w:tab/>
      </w:r>
      <w:r w:rsidRPr="0081591F">
        <w:rPr>
          <w:rFonts w:ascii="Times New Roman" w:hAnsi="Times New Roman" w:cs="Times New Roman"/>
          <w:b/>
          <w:sz w:val="28"/>
          <w:szCs w:val="28"/>
        </w:rPr>
        <w:tab/>
      </w:r>
      <w:r w:rsidRPr="0081591F">
        <w:rPr>
          <w:rFonts w:ascii="Times New Roman" w:hAnsi="Times New Roman" w:cs="Times New Roman"/>
          <w:b/>
          <w:sz w:val="28"/>
          <w:szCs w:val="28"/>
        </w:rPr>
        <w:tab/>
        <w:t>Алла ЛІЩУК</w:t>
      </w:r>
    </w:p>
    <w:sectPr w:rsidR="00591161" w:rsidRPr="008159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27C08"/>
    <w:multiLevelType w:val="multilevel"/>
    <w:tmpl w:val="02CE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E09A6"/>
    <w:multiLevelType w:val="multilevel"/>
    <w:tmpl w:val="B688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D5DAE"/>
    <w:multiLevelType w:val="hybridMultilevel"/>
    <w:tmpl w:val="3B6E3AFE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2177D1"/>
    <w:multiLevelType w:val="multilevel"/>
    <w:tmpl w:val="AC1E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55D07"/>
    <w:multiLevelType w:val="multilevel"/>
    <w:tmpl w:val="3B80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333B20"/>
    <w:multiLevelType w:val="multilevel"/>
    <w:tmpl w:val="D7BE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B4AB3"/>
    <w:multiLevelType w:val="multilevel"/>
    <w:tmpl w:val="EEC6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A2352"/>
    <w:multiLevelType w:val="multilevel"/>
    <w:tmpl w:val="73E20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CF2C81"/>
    <w:multiLevelType w:val="multilevel"/>
    <w:tmpl w:val="24F0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9A7417"/>
    <w:multiLevelType w:val="multilevel"/>
    <w:tmpl w:val="B27C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76C42"/>
    <w:multiLevelType w:val="multilevel"/>
    <w:tmpl w:val="D814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7E7BF4"/>
    <w:multiLevelType w:val="multilevel"/>
    <w:tmpl w:val="1A76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A94835"/>
    <w:multiLevelType w:val="multilevel"/>
    <w:tmpl w:val="B2B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BB1736"/>
    <w:multiLevelType w:val="multilevel"/>
    <w:tmpl w:val="6BD0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200FEC"/>
    <w:multiLevelType w:val="multilevel"/>
    <w:tmpl w:val="108E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3C3D57"/>
    <w:multiLevelType w:val="multilevel"/>
    <w:tmpl w:val="F2CC0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15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9"/>
  </w:num>
  <w:num w:numId="10">
    <w:abstractNumId w:val="13"/>
  </w:num>
  <w:num w:numId="11">
    <w:abstractNumId w:val="12"/>
  </w:num>
  <w:num w:numId="12">
    <w:abstractNumId w:val="4"/>
  </w:num>
  <w:num w:numId="13">
    <w:abstractNumId w:val="7"/>
  </w:num>
  <w:num w:numId="14">
    <w:abstractNumId w:val="6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E0"/>
    <w:rsid w:val="00017E50"/>
    <w:rsid w:val="000B6A1C"/>
    <w:rsid w:val="001730EB"/>
    <w:rsid w:val="00437704"/>
    <w:rsid w:val="004C112A"/>
    <w:rsid w:val="00591161"/>
    <w:rsid w:val="006D61E0"/>
    <w:rsid w:val="0081591F"/>
    <w:rsid w:val="00887CC7"/>
    <w:rsid w:val="00BF6A79"/>
    <w:rsid w:val="00C31A21"/>
    <w:rsid w:val="00C672B9"/>
    <w:rsid w:val="00CA63D2"/>
    <w:rsid w:val="00F61DDC"/>
    <w:rsid w:val="00F8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1FD5"/>
  <w15:chartTrackingRefBased/>
  <w15:docId w15:val="{45E31B31-94E6-4FC6-A78B-8D482920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7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7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11880</Words>
  <Characters>6772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Ліщук</dc:creator>
  <cp:keywords/>
  <dc:description/>
  <cp:lastModifiedBy>Алла Ліщук</cp:lastModifiedBy>
  <cp:revision>4</cp:revision>
  <cp:lastPrinted>2026-08-31T07:30:00Z</cp:lastPrinted>
  <dcterms:created xsi:type="dcterms:W3CDTF">2026-08-17T13:24:00Z</dcterms:created>
  <dcterms:modified xsi:type="dcterms:W3CDTF">2026-08-31T07:31:00Z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cabdb7b7-7912-469e-8245-6c996bd01801</vt:lpwstr>
  </property>
</Properties>
</file>